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74"/>
        <w:rPr>
          <w:rFonts w:ascii="Times New Roman"/>
          <w:sz w:val="20"/>
        </w:rPr>
      </w:pPr>
      <w:r>
        <w:rPr>
          <w:rFonts w:ascii="Times New Roman"/>
          <w:sz w:val="20"/>
        </w:rPr>
        <w:drawing>
          <wp:inline distT="0" distB="0" distL="0" distR="0">
            <wp:extent cx="1286053" cy="1167193"/>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286053" cy="116719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99"/>
        <w:rPr>
          <w:rFonts w:ascii="Times New Roman"/>
          <w:sz w:val="20"/>
        </w:rPr>
      </w:pPr>
    </w:p>
    <w:p>
      <w:pPr>
        <w:pStyle w:val="Title"/>
        <w:rPr>
          <w:u w:val="none"/>
        </w:rPr>
      </w:pPr>
      <w:r>
        <w:rPr>
          <w:u w:val="none"/>
        </w:rPr>
        <w:t>OF.</w:t>
      </w:r>
      <w:r>
        <w:rPr>
          <w:spacing w:val="4"/>
          <w:u w:val="none"/>
        </w:rPr>
        <w:t> </w:t>
      </w:r>
      <w:r>
        <w:rPr>
          <w:u w:val="none"/>
        </w:rPr>
        <w:t>Nº</w:t>
      </w:r>
      <w:r>
        <w:rPr>
          <w:spacing w:val="2"/>
          <w:u w:val="none"/>
        </w:rPr>
        <w:t> </w:t>
      </w:r>
      <w:r>
        <w:rPr>
          <w:spacing w:val="-2"/>
          <w:u w:val="single"/>
        </w:rPr>
        <w:t>00348/2025</w:t>
      </w:r>
    </w:p>
    <w:p>
      <w:pPr>
        <w:spacing w:line="249" w:lineRule="auto" w:before="163"/>
        <w:ind w:left="5875" w:right="85" w:hanging="601"/>
        <w:jc w:val="both"/>
        <w:rPr>
          <w:sz w:val="19"/>
        </w:rPr>
      </w:pPr>
      <w:r>
        <w:rPr>
          <w:b/>
          <w:sz w:val="19"/>
        </w:rPr>
        <w:t>ANT.: </w:t>
      </w:r>
      <w:r>
        <w:rPr>
          <w:sz w:val="19"/>
        </w:rPr>
        <w:t>Oﬁcio N°226/2025 de 15 de enero del 2025, Comisión de Derechos Humanos y Pueblos </w:t>
      </w:r>
      <w:r>
        <w:rPr>
          <w:spacing w:val="-2"/>
          <w:sz w:val="19"/>
        </w:rPr>
        <w:t>Originarios.</w:t>
      </w:r>
    </w:p>
    <w:p>
      <w:pPr>
        <w:spacing w:before="75"/>
        <w:ind w:left="5275" w:right="0" w:firstLine="0"/>
        <w:jc w:val="both"/>
        <w:rPr>
          <w:sz w:val="19"/>
        </w:rPr>
      </w:pPr>
      <w:r>
        <w:rPr>
          <w:b/>
          <w:sz w:val="19"/>
        </w:rPr>
        <w:t>MAT.:</w:t>
      </w:r>
      <w:r>
        <w:rPr>
          <w:b/>
          <w:spacing w:val="14"/>
          <w:sz w:val="19"/>
        </w:rPr>
        <w:t> </w:t>
      </w:r>
      <w:r>
        <w:rPr>
          <w:sz w:val="19"/>
        </w:rPr>
        <w:t>Informa</w:t>
      </w:r>
      <w:r>
        <w:rPr>
          <w:spacing w:val="1"/>
          <w:sz w:val="19"/>
        </w:rPr>
        <w:t> </w:t>
      </w:r>
      <w:r>
        <w:rPr>
          <w:sz w:val="19"/>
        </w:rPr>
        <w:t>al</w:t>
      </w:r>
      <w:r>
        <w:rPr>
          <w:spacing w:val="1"/>
          <w:sz w:val="19"/>
        </w:rPr>
        <w:t> </w:t>
      </w:r>
      <w:r>
        <w:rPr>
          <w:sz w:val="19"/>
        </w:rPr>
        <w:t>tenor de</w:t>
      </w:r>
      <w:r>
        <w:rPr>
          <w:spacing w:val="1"/>
          <w:sz w:val="19"/>
        </w:rPr>
        <w:t> </w:t>
      </w:r>
      <w:r>
        <w:rPr>
          <w:sz w:val="19"/>
        </w:rPr>
        <w:t>lo</w:t>
      </w:r>
      <w:r>
        <w:rPr>
          <w:spacing w:val="1"/>
          <w:sz w:val="19"/>
        </w:rPr>
        <w:t> </w:t>
      </w:r>
      <w:r>
        <w:rPr>
          <w:spacing w:val="-2"/>
          <w:sz w:val="19"/>
        </w:rPr>
        <w:t>solicitado.</w:t>
      </w:r>
    </w:p>
    <w:p>
      <w:pPr>
        <w:pStyle w:val="BodyText"/>
        <w:spacing w:before="163"/>
        <w:rPr>
          <w:sz w:val="19"/>
        </w:rPr>
      </w:pPr>
    </w:p>
    <w:p>
      <w:pPr>
        <w:spacing w:before="0"/>
        <w:ind w:left="5371" w:right="0" w:firstLine="0"/>
        <w:jc w:val="left"/>
        <w:rPr>
          <w:sz w:val="19"/>
        </w:rPr>
      </w:pPr>
      <w:r>
        <w:rPr>
          <w:b/>
          <w:sz w:val="19"/>
        </w:rPr>
        <w:t>SANTIAGO</w:t>
      </w:r>
      <w:r>
        <w:rPr>
          <w:sz w:val="19"/>
        </w:rPr>
        <w:t>, miércoles,</w:t>
      </w:r>
      <w:r>
        <w:rPr>
          <w:spacing w:val="1"/>
          <w:sz w:val="19"/>
        </w:rPr>
        <w:t> </w:t>
      </w:r>
      <w:r>
        <w:rPr>
          <w:sz w:val="19"/>
        </w:rPr>
        <w:t>30</w:t>
      </w:r>
      <w:r>
        <w:rPr>
          <w:spacing w:val="1"/>
          <w:sz w:val="19"/>
        </w:rPr>
        <w:t> </w:t>
      </w:r>
      <w:r>
        <w:rPr>
          <w:sz w:val="19"/>
        </w:rPr>
        <w:t>de abril</w:t>
      </w:r>
      <w:r>
        <w:rPr>
          <w:spacing w:val="1"/>
          <w:sz w:val="19"/>
        </w:rPr>
        <w:t> </w:t>
      </w:r>
      <w:r>
        <w:rPr>
          <w:sz w:val="19"/>
        </w:rPr>
        <w:t>de</w:t>
      </w:r>
      <w:r>
        <w:rPr>
          <w:spacing w:val="1"/>
          <w:sz w:val="19"/>
        </w:rPr>
        <w:t> </w:t>
      </w:r>
      <w:r>
        <w:rPr>
          <w:spacing w:val="-4"/>
          <w:sz w:val="19"/>
        </w:rPr>
        <w:t>2025</w:t>
      </w:r>
    </w:p>
    <w:p>
      <w:pPr>
        <w:tabs>
          <w:tab w:pos="978" w:val="left" w:leader="none"/>
        </w:tabs>
        <w:spacing w:before="202"/>
        <w:ind w:left="510" w:right="0" w:firstLine="0"/>
        <w:jc w:val="left"/>
        <w:rPr>
          <w:b/>
          <w:sz w:val="19"/>
        </w:rPr>
      </w:pPr>
      <w:r>
        <w:rPr>
          <w:b/>
          <w:spacing w:val="-10"/>
          <w:sz w:val="19"/>
        </w:rPr>
        <w:t>A</w:t>
      </w:r>
      <w:r>
        <w:rPr>
          <w:b/>
          <w:sz w:val="19"/>
        </w:rPr>
        <w:tab/>
        <w:t>:</w:t>
      </w:r>
      <w:r>
        <w:rPr>
          <w:b/>
          <w:spacing w:val="17"/>
          <w:sz w:val="19"/>
        </w:rPr>
        <w:t> </w:t>
      </w:r>
      <w:r>
        <w:rPr>
          <w:b/>
          <w:sz w:val="19"/>
        </w:rPr>
        <w:t>MATHIAS</w:t>
      </w:r>
      <w:r>
        <w:rPr>
          <w:b/>
          <w:spacing w:val="3"/>
          <w:sz w:val="19"/>
        </w:rPr>
        <w:t> </w:t>
      </w:r>
      <w:r>
        <w:rPr>
          <w:b/>
          <w:sz w:val="19"/>
        </w:rPr>
        <w:t>LINDHORST</w:t>
      </w:r>
      <w:r>
        <w:rPr>
          <w:b/>
          <w:spacing w:val="2"/>
          <w:sz w:val="19"/>
        </w:rPr>
        <w:t> </w:t>
      </w:r>
      <w:r>
        <w:rPr>
          <w:b/>
          <w:spacing w:val="-2"/>
          <w:sz w:val="19"/>
        </w:rPr>
        <w:t>FERNÁNDEZ</w:t>
      </w:r>
    </w:p>
    <w:p>
      <w:pPr>
        <w:spacing w:line="249" w:lineRule="auto" w:before="9"/>
        <w:ind w:left="1110" w:right="1220" w:firstLine="0"/>
        <w:jc w:val="left"/>
        <w:rPr>
          <w:b/>
          <w:sz w:val="19"/>
        </w:rPr>
      </w:pPr>
      <w:r>
        <w:rPr>
          <w:b/>
          <w:sz w:val="19"/>
        </w:rPr>
        <w:t>SECRETARIO COMISIÓN DERECHOS HUMANOS Y PUEBLOS ORIGINARIOS CÁMARA DE DIPUTADOS</w:t>
      </w:r>
    </w:p>
    <w:p>
      <w:pPr>
        <w:tabs>
          <w:tab w:pos="978" w:val="left" w:leader="none"/>
        </w:tabs>
        <w:spacing w:line="249" w:lineRule="auto" w:before="194"/>
        <w:ind w:left="1110" w:right="5055" w:hanging="601"/>
        <w:jc w:val="left"/>
        <w:rPr>
          <w:b/>
          <w:sz w:val="19"/>
        </w:rPr>
      </w:pPr>
      <w:r>
        <w:rPr>
          <w:b/>
          <w:spacing w:val="-6"/>
          <w:sz w:val="19"/>
        </w:rPr>
        <w:t>DE</w:t>
      </w:r>
      <w:r>
        <w:rPr>
          <w:b/>
          <w:sz w:val="19"/>
        </w:rPr>
        <w:tab/>
        <w:t>: CLAUDIO ALFONSO CASTILLO CASTILLO DIRECTOR NACIONAL</w:t>
      </w:r>
    </w:p>
    <w:p>
      <w:pPr>
        <w:spacing w:before="2"/>
        <w:ind w:left="1110" w:right="0" w:firstLine="0"/>
        <w:jc w:val="left"/>
        <w:rPr>
          <w:b/>
          <w:sz w:val="19"/>
        </w:rPr>
      </w:pPr>
      <w:r>
        <w:rPr>
          <w:b/>
          <w:sz w:val="19"/>
        </w:rPr>
        <w:t>SERVICIO</w:t>
      </w:r>
      <w:r>
        <w:rPr>
          <w:b/>
          <w:spacing w:val="3"/>
          <w:sz w:val="19"/>
        </w:rPr>
        <w:t> </w:t>
      </w:r>
      <w:r>
        <w:rPr>
          <w:b/>
          <w:sz w:val="19"/>
        </w:rPr>
        <w:t>NACIONAL</w:t>
      </w:r>
      <w:r>
        <w:rPr>
          <w:b/>
          <w:spacing w:val="3"/>
          <w:sz w:val="19"/>
        </w:rPr>
        <w:t> </w:t>
      </w:r>
      <w:r>
        <w:rPr>
          <w:b/>
          <w:sz w:val="19"/>
        </w:rPr>
        <w:t>DE</w:t>
      </w:r>
      <w:r>
        <w:rPr>
          <w:b/>
          <w:spacing w:val="3"/>
          <w:sz w:val="19"/>
        </w:rPr>
        <w:t> </w:t>
      </w:r>
      <w:r>
        <w:rPr>
          <w:b/>
          <w:sz w:val="19"/>
        </w:rPr>
        <w:t>PROTECCIÓN</w:t>
      </w:r>
      <w:r>
        <w:rPr>
          <w:b/>
          <w:spacing w:val="4"/>
          <w:sz w:val="19"/>
        </w:rPr>
        <w:t> </w:t>
      </w:r>
      <w:r>
        <w:rPr>
          <w:b/>
          <w:sz w:val="19"/>
        </w:rPr>
        <w:t>ESPECIALIZADA</w:t>
      </w:r>
      <w:r>
        <w:rPr>
          <w:b/>
          <w:spacing w:val="3"/>
          <w:sz w:val="19"/>
        </w:rPr>
        <w:t> </w:t>
      </w:r>
      <w:r>
        <w:rPr>
          <w:b/>
          <w:sz w:val="19"/>
        </w:rPr>
        <w:t>A</w:t>
      </w:r>
      <w:r>
        <w:rPr>
          <w:b/>
          <w:spacing w:val="3"/>
          <w:sz w:val="19"/>
        </w:rPr>
        <w:t> </w:t>
      </w:r>
      <w:r>
        <w:rPr>
          <w:b/>
          <w:sz w:val="19"/>
        </w:rPr>
        <w:t>LA</w:t>
      </w:r>
      <w:r>
        <w:rPr>
          <w:b/>
          <w:spacing w:val="4"/>
          <w:sz w:val="19"/>
        </w:rPr>
        <w:t> </w:t>
      </w:r>
      <w:r>
        <w:rPr>
          <w:b/>
          <w:sz w:val="19"/>
        </w:rPr>
        <w:t>NIÑEZ</w:t>
      </w:r>
      <w:r>
        <w:rPr>
          <w:b/>
          <w:spacing w:val="3"/>
          <w:sz w:val="19"/>
        </w:rPr>
        <w:t> </w:t>
      </w:r>
      <w:r>
        <w:rPr>
          <w:b/>
          <w:sz w:val="19"/>
        </w:rPr>
        <w:t>Y</w:t>
      </w:r>
      <w:r>
        <w:rPr>
          <w:b/>
          <w:spacing w:val="3"/>
          <w:sz w:val="19"/>
        </w:rPr>
        <w:t> </w:t>
      </w:r>
      <w:r>
        <w:rPr>
          <w:b/>
          <w:spacing w:val="-2"/>
          <w:sz w:val="19"/>
        </w:rPr>
        <w:t>ADOLESCENCIA</w:t>
      </w:r>
    </w:p>
    <w:p>
      <w:pPr>
        <w:pStyle w:val="BodyText"/>
        <w:spacing w:before="2"/>
        <w:rPr>
          <w:b/>
          <w:sz w:val="14"/>
        </w:rPr>
      </w:pPr>
      <w:r>
        <w:rPr>
          <w:b/>
          <w:sz w:val="14"/>
        </w:rPr>
        <mc:AlternateContent>
          <mc:Choice Requires="wps">
            <w:drawing>
              <wp:anchor distT="0" distB="0" distL="0" distR="0" allowOverlap="1" layoutInCell="1" locked="0" behindDoc="1" simplePos="0" relativeHeight="487587840">
                <wp:simplePos x="0" y="0"/>
                <wp:positionH relativeFrom="page">
                  <wp:posOffset>750678</wp:posOffset>
                </wp:positionH>
                <wp:positionV relativeFrom="paragraph">
                  <wp:posOffset>119314</wp:posOffset>
                </wp:positionV>
                <wp:extent cx="605218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052185" cy="7620"/>
                        </a:xfrm>
                        <a:custGeom>
                          <a:avLst/>
                          <a:gdLst/>
                          <a:ahLst/>
                          <a:cxnLst/>
                          <a:rect l="l" t="t" r="r" b="b"/>
                          <a:pathLst>
                            <a:path w="6052185" h="7620">
                              <a:moveTo>
                                <a:pt x="6051967" y="7622"/>
                              </a:moveTo>
                              <a:lnTo>
                                <a:pt x="0" y="7622"/>
                              </a:lnTo>
                              <a:lnTo>
                                <a:pt x="0" y="0"/>
                              </a:lnTo>
                              <a:lnTo>
                                <a:pt x="6051967" y="0"/>
                              </a:lnTo>
                              <a:lnTo>
                                <a:pt x="6051967" y="7622"/>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rect style="position:absolute;margin-left:59.108536pt;margin-top:9.394877pt;width:476.532911pt;height:.600167pt;mso-position-horizontal-relative:page;mso-position-vertical-relative:paragraph;z-index:-15728640;mso-wrap-distance-left:0;mso-wrap-distance-right:0" id="docshape7" filled="true" fillcolor="#212121" stroked="false">
                <v:fill type="solid"/>
                <w10:wrap type="topAndBottom"/>
              </v:rect>
            </w:pict>
          </mc:Fallback>
        </mc:AlternateContent>
      </w:r>
    </w:p>
    <w:p>
      <w:pPr>
        <w:pStyle w:val="BodyText"/>
        <w:rPr>
          <w:b/>
          <w:sz w:val="19"/>
        </w:rPr>
      </w:pPr>
    </w:p>
    <w:p>
      <w:pPr>
        <w:pStyle w:val="BodyText"/>
        <w:spacing w:before="18"/>
        <w:rPr>
          <w:b/>
          <w:sz w:val="19"/>
        </w:rPr>
      </w:pPr>
    </w:p>
    <w:p>
      <w:pPr>
        <w:pStyle w:val="BodyText"/>
        <w:spacing w:line="249" w:lineRule="auto"/>
        <w:ind w:left="474" w:right="49" w:firstLine="300"/>
        <w:jc w:val="both"/>
      </w:pPr>
      <w:r>
        <w:rPr/>
        <w:t>Junto con saludar cordialmente, mediante el presente, y en virtud del oﬁcio señalado en el antecedente, vengo en dar respuesta a la solicitud del H. Diputado Hernán Palma, requerida a través de la Presidenta de la Comisión, la H. Diputada Sra. Lorena Fries Monleón conforme se detalla a continuación.</w:t>
      </w:r>
    </w:p>
    <w:p>
      <w:pPr>
        <w:pStyle w:val="BodyText"/>
        <w:spacing w:line="249" w:lineRule="auto" w:before="123"/>
        <w:ind w:left="474" w:right="51" w:firstLine="300"/>
        <w:jc w:val="both"/>
      </w:pPr>
      <w:r>
        <w:rPr/>
        <w:t>Se ha solicitado a este Servicio “…dar cuenta e informar del lamentable fallecimiento de un menor de 17 años institucionalizado en el Centro de Internación Provisoria de San Joaquín.”</w:t>
      </w:r>
    </w:p>
    <w:p>
      <w:pPr>
        <w:pStyle w:val="BodyText"/>
        <w:spacing w:line="249" w:lineRule="auto" w:before="121"/>
        <w:ind w:left="474" w:right="46" w:firstLine="300"/>
        <w:jc w:val="both"/>
      </w:pPr>
      <w:r>
        <w:rPr/>
        <w:t>Al respecto se informa a usted que conforme dispone la ley N°21.302 que crea el Servicio Nacional de Protección Especializada a la Niñez y Adolescencia, este organismo tiene por objeto garantizar la protección especializada de niños, niñas y adolescentes gravemente amenazados o vulnerados en sus derechos, lo que realizará asegurando la provisión y ejecución de programas especializados para abordar casos de mediana y alta complejidad.</w:t>
      </w:r>
    </w:p>
    <w:p>
      <w:pPr>
        <w:pStyle w:val="BodyText"/>
        <w:spacing w:line="249" w:lineRule="auto" w:before="123"/>
        <w:ind w:left="474" w:right="47" w:firstLine="300"/>
        <w:jc w:val="both"/>
      </w:pPr>
      <w:r>
        <w:rPr/>
        <w:t>En dicho sentido la ley N°21.302 en su artículo 18 y siguientes, y los decretos supremos N°19 del 2021, y el N°7</w:t>
      </w:r>
      <w:r>
        <w:rPr>
          <w:spacing w:val="40"/>
        </w:rPr>
        <w:t> </w:t>
      </w:r>
      <w:r>
        <w:rPr/>
        <w:t>del 2022, ambos del Ministerio de Desarrollo Social y Familia, Subsecretaría de la Niñez, establecen</w:t>
      </w:r>
      <w:r>
        <w:rPr>
          <w:spacing w:val="40"/>
        </w:rPr>
        <w:t> </w:t>
      </w:r>
      <w:r>
        <w:rPr/>
        <w:t>las líneas de acción y programas que debe ejecutar el Servicio, así las cosas son líneas de acción (i) Diagnóstico clínico especializado y seguimiento de casos, y pericia; (ii) Intervenciones ambulatorias de reparación; (iii) Fortalecimiento y vinculación;</w:t>
      </w:r>
      <w:r>
        <w:rPr>
          <w:spacing w:val="-3"/>
        </w:rPr>
        <w:t> </w:t>
      </w:r>
      <w:r>
        <w:rPr/>
        <w:t>(iv)</w:t>
      </w:r>
      <w:r>
        <w:rPr>
          <w:spacing w:val="-3"/>
        </w:rPr>
        <w:t> </w:t>
      </w:r>
      <w:r>
        <w:rPr/>
        <w:t>Cuidado</w:t>
      </w:r>
      <w:r>
        <w:rPr>
          <w:spacing w:val="-3"/>
        </w:rPr>
        <w:t> </w:t>
      </w:r>
      <w:r>
        <w:rPr/>
        <w:t>alternativo</w:t>
      </w:r>
      <w:r>
        <w:rPr>
          <w:spacing w:val="-3"/>
        </w:rPr>
        <w:t> </w:t>
      </w:r>
      <w:r>
        <w:rPr/>
        <w:t>y</w:t>
      </w:r>
      <w:r>
        <w:rPr>
          <w:spacing w:val="-3"/>
        </w:rPr>
        <w:t> </w:t>
      </w:r>
      <w:r>
        <w:rPr/>
        <w:t>(v)</w:t>
      </w:r>
      <w:r>
        <w:rPr>
          <w:spacing w:val="-3"/>
        </w:rPr>
        <w:t> </w:t>
      </w:r>
      <w:r>
        <w:rPr/>
        <w:t>Adopción,</w:t>
      </w:r>
      <w:r>
        <w:rPr>
          <w:spacing w:val="-3"/>
        </w:rPr>
        <w:t> </w:t>
      </w:r>
      <w:r>
        <w:rPr/>
        <w:t>no</w:t>
      </w:r>
      <w:r>
        <w:rPr>
          <w:spacing w:val="-3"/>
        </w:rPr>
        <w:t> </w:t>
      </w:r>
      <w:r>
        <w:rPr/>
        <w:t>contemplando</w:t>
      </w:r>
      <w:r>
        <w:rPr>
          <w:spacing w:val="-3"/>
        </w:rPr>
        <w:t> </w:t>
      </w:r>
      <w:r>
        <w:rPr/>
        <w:t>la</w:t>
      </w:r>
      <w:r>
        <w:rPr>
          <w:spacing w:val="-3"/>
        </w:rPr>
        <w:t> </w:t>
      </w:r>
      <w:r>
        <w:rPr/>
        <w:t>normativa</w:t>
      </w:r>
      <w:r>
        <w:rPr>
          <w:spacing w:val="-3"/>
        </w:rPr>
        <w:t> </w:t>
      </w:r>
      <w:r>
        <w:rPr/>
        <w:t>los</w:t>
      </w:r>
      <w:r>
        <w:rPr>
          <w:spacing w:val="-3"/>
        </w:rPr>
        <w:t> </w:t>
      </w:r>
      <w:r>
        <w:rPr/>
        <w:t>centros</w:t>
      </w:r>
      <w:r>
        <w:rPr>
          <w:spacing w:val="-3"/>
        </w:rPr>
        <w:t> </w:t>
      </w:r>
      <w:r>
        <w:rPr/>
        <w:t>de</w:t>
      </w:r>
      <w:r>
        <w:rPr>
          <w:spacing w:val="-3"/>
        </w:rPr>
        <w:t> </w:t>
      </w:r>
      <w:r>
        <w:rPr/>
        <w:t>internación</w:t>
      </w:r>
      <w:r>
        <w:rPr>
          <w:spacing w:val="-3"/>
        </w:rPr>
        <w:t> </w:t>
      </w:r>
      <w:r>
        <w:rPr/>
        <w:t>provisoria, toda vez que aquellos se encuentran regulados en la ley N°20.084 que Establece un sistema de responsabilidad de</w:t>
      </w:r>
      <w:r>
        <w:rPr>
          <w:spacing w:val="80"/>
        </w:rPr>
        <w:t> </w:t>
      </w:r>
      <w:r>
        <w:rPr/>
        <w:t>los adolescentes por infracciones a la ley penal, a ﬁn de cumplir con la medida cautelar de privación de libertad en los cuales se vela por el cumplimiento de todas las diligencias decretadas en el proceso de investigación relacionadas con el adolescente imputado, lo anterior en el marco de una oferta desarrollada por el Servicio Nacional de Menores y vigilados por Gendarmería de Chile.</w:t>
      </w:r>
    </w:p>
    <w:p>
      <w:pPr>
        <w:pStyle w:val="BodyText"/>
        <w:spacing w:line="249" w:lineRule="auto" w:before="128"/>
        <w:ind w:left="474" w:right="61" w:firstLine="300"/>
        <w:jc w:val="both"/>
      </w:pPr>
      <w:r>
        <w:rPr/>
        <w:t>Es</w:t>
      </w:r>
      <w:r>
        <w:rPr>
          <w:spacing w:val="-1"/>
        </w:rPr>
        <w:t> </w:t>
      </w:r>
      <w:r>
        <w:rPr/>
        <w:t>por</w:t>
      </w:r>
      <w:r>
        <w:rPr>
          <w:spacing w:val="-1"/>
        </w:rPr>
        <w:t> </w:t>
      </w:r>
      <w:r>
        <w:rPr/>
        <w:t>lo</w:t>
      </w:r>
      <w:r>
        <w:rPr>
          <w:spacing w:val="-1"/>
        </w:rPr>
        <w:t> </w:t>
      </w:r>
      <w:r>
        <w:rPr/>
        <w:t>anterior,</w:t>
      </w:r>
      <w:r>
        <w:rPr>
          <w:spacing w:val="-1"/>
        </w:rPr>
        <w:t> </w:t>
      </w:r>
      <w:r>
        <w:rPr/>
        <w:t>que</w:t>
      </w:r>
      <w:r>
        <w:rPr>
          <w:spacing w:val="-1"/>
        </w:rPr>
        <w:t> </w:t>
      </w:r>
      <w:r>
        <w:rPr/>
        <w:t>el</w:t>
      </w:r>
      <w:r>
        <w:rPr>
          <w:spacing w:val="-1"/>
        </w:rPr>
        <w:t> </w:t>
      </w:r>
      <w:r>
        <w:rPr/>
        <w:t>Servicio</w:t>
      </w:r>
      <w:r>
        <w:rPr>
          <w:spacing w:val="-1"/>
        </w:rPr>
        <w:t> </w:t>
      </w:r>
      <w:r>
        <w:rPr/>
        <w:t>Nacional</w:t>
      </w:r>
      <w:r>
        <w:rPr>
          <w:spacing w:val="-1"/>
        </w:rPr>
        <w:t> </w:t>
      </w:r>
      <w:r>
        <w:rPr/>
        <w:t>de</w:t>
      </w:r>
      <w:r>
        <w:rPr>
          <w:spacing w:val="-1"/>
        </w:rPr>
        <w:t> </w:t>
      </w:r>
      <w:r>
        <w:rPr/>
        <w:t>Protección</w:t>
      </w:r>
      <w:r>
        <w:rPr>
          <w:spacing w:val="-1"/>
        </w:rPr>
        <w:t> </w:t>
      </w:r>
      <w:r>
        <w:rPr/>
        <w:t>Especializada</w:t>
      </w:r>
      <w:r>
        <w:rPr>
          <w:spacing w:val="-1"/>
        </w:rPr>
        <w:t> </w:t>
      </w:r>
      <w:r>
        <w:rPr/>
        <w:t>a</w:t>
      </w:r>
      <w:r>
        <w:rPr>
          <w:spacing w:val="-1"/>
        </w:rPr>
        <w:t> </w:t>
      </w:r>
      <w:r>
        <w:rPr/>
        <w:t>la</w:t>
      </w:r>
      <w:r>
        <w:rPr>
          <w:spacing w:val="-1"/>
        </w:rPr>
        <w:t> </w:t>
      </w:r>
      <w:r>
        <w:rPr/>
        <w:t>Niñez</w:t>
      </w:r>
      <w:r>
        <w:rPr>
          <w:spacing w:val="-1"/>
        </w:rPr>
        <w:t> </w:t>
      </w:r>
      <w:r>
        <w:rPr/>
        <w:t>y</w:t>
      </w:r>
      <w:r>
        <w:rPr>
          <w:spacing w:val="-1"/>
        </w:rPr>
        <w:t> </w:t>
      </w:r>
      <w:r>
        <w:rPr/>
        <w:t>Adolescencia</w:t>
      </w:r>
      <w:r>
        <w:rPr>
          <w:spacing w:val="-1"/>
        </w:rPr>
        <w:t> </w:t>
      </w:r>
      <w:r>
        <w:rPr/>
        <w:t>no</w:t>
      </w:r>
      <w:r>
        <w:rPr>
          <w:spacing w:val="-1"/>
        </w:rPr>
        <w:t> </w:t>
      </w:r>
      <w:r>
        <w:rPr/>
        <w:t>cuenta</w:t>
      </w:r>
      <w:r>
        <w:rPr>
          <w:spacing w:val="-1"/>
        </w:rPr>
        <w:t> </w:t>
      </w:r>
      <w:r>
        <w:rPr/>
        <w:t>con</w:t>
      </w:r>
      <w:r>
        <w:rPr>
          <w:spacing w:val="-1"/>
        </w:rPr>
        <w:t> </w:t>
      </w:r>
      <w:r>
        <w:rPr/>
        <w:t>la información solicitada, debiendo efectuar vuestro requerimiento al Servicio Nacional de Menores (SENAME).</w:t>
      </w:r>
    </w:p>
    <w:p>
      <w:pPr>
        <w:pStyle w:val="BodyText"/>
        <w:spacing w:line="249" w:lineRule="auto" w:before="122"/>
        <w:ind w:left="474" w:right="49" w:firstLine="300"/>
        <w:jc w:val="both"/>
      </w:pPr>
      <w:r>
        <w:rPr/>
        <w:t>Por otra parte, y en cuanto a la solicitud de que se “…informe en detalle, bajo reserva y protección de datos personales, el detalle de los 1.838 casos de niños bajo la protección del Estado en listas de espera por cirugías y atenciones médicas, y las acciones tendientes a otorgarles las prestaciones médicas y sanitarias con la mayor de las urgencias…” procede señalar a usted lo siguiente:</w:t>
      </w:r>
    </w:p>
    <w:p>
      <w:pPr>
        <w:pStyle w:val="BodyText"/>
        <w:spacing w:line="249" w:lineRule="auto" w:before="123"/>
        <w:ind w:left="474" w:right="49" w:firstLine="300"/>
        <w:jc w:val="both"/>
      </w:pPr>
      <w:r>
        <w:rPr/>
        <w:t>Desde al año 2018 hasta el año 2021 existía un convenio sobre transferencia de datos entre el SENAME y el Ministerio de Salud (MINSAL) que permitía a dicho Servicio, del cual esta repartición es su continuador legal,</w:t>
      </w:r>
      <w:r>
        <w:rPr>
          <w:spacing w:val="40"/>
        </w:rPr>
        <w:t> </w:t>
      </w:r>
      <w:r>
        <w:rPr/>
        <w:t>contar mensualmente</w:t>
      </w:r>
      <w:r>
        <w:rPr>
          <w:spacing w:val="-2"/>
        </w:rPr>
        <w:t> </w:t>
      </w:r>
      <w:r>
        <w:rPr/>
        <w:t>con</w:t>
      </w:r>
      <w:r>
        <w:rPr>
          <w:spacing w:val="-2"/>
        </w:rPr>
        <w:t> </w:t>
      </w:r>
      <w:r>
        <w:rPr/>
        <w:t>la</w:t>
      </w:r>
      <w:r>
        <w:rPr>
          <w:spacing w:val="-2"/>
        </w:rPr>
        <w:t> </w:t>
      </w:r>
      <w:r>
        <w:rPr/>
        <w:t>información</w:t>
      </w:r>
      <w:r>
        <w:rPr>
          <w:spacing w:val="-2"/>
        </w:rPr>
        <w:t> </w:t>
      </w:r>
      <w:r>
        <w:rPr/>
        <w:t>de</w:t>
      </w:r>
      <w:r>
        <w:rPr>
          <w:spacing w:val="-2"/>
        </w:rPr>
        <w:t> </w:t>
      </w:r>
      <w:r>
        <w:rPr/>
        <w:t>salud</w:t>
      </w:r>
      <w:r>
        <w:rPr>
          <w:spacing w:val="-2"/>
        </w:rPr>
        <w:t> </w:t>
      </w:r>
      <w:r>
        <w:rPr/>
        <w:t>de</w:t>
      </w:r>
      <w:r>
        <w:rPr>
          <w:spacing w:val="-2"/>
        </w:rPr>
        <w:t> </w:t>
      </w:r>
      <w:r>
        <w:rPr/>
        <w:t>los</w:t>
      </w:r>
      <w:r>
        <w:rPr>
          <w:spacing w:val="-2"/>
        </w:rPr>
        <w:t> </w:t>
      </w:r>
      <w:r>
        <w:rPr/>
        <w:t>niños,</w:t>
      </w:r>
      <w:r>
        <w:rPr>
          <w:spacing w:val="-2"/>
        </w:rPr>
        <w:t> </w:t>
      </w:r>
      <w:r>
        <w:rPr/>
        <w:t>niñas,</w:t>
      </w:r>
      <w:r>
        <w:rPr>
          <w:spacing w:val="-2"/>
        </w:rPr>
        <w:t> </w:t>
      </w:r>
      <w:r>
        <w:rPr/>
        <w:t>adolescentes</w:t>
      </w:r>
      <w:r>
        <w:rPr>
          <w:spacing w:val="-2"/>
        </w:rPr>
        <w:t> </w:t>
      </w:r>
      <w:r>
        <w:rPr/>
        <w:t>y</w:t>
      </w:r>
      <w:r>
        <w:rPr>
          <w:spacing w:val="-2"/>
        </w:rPr>
        <w:t> </w:t>
      </w:r>
      <w:r>
        <w:rPr/>
        <w:t>jóvenes</w:t>
      </w:r>
      <w:r>
        <w:rPr>
          <w:spacing w:val="-2"/>
        </w:rPr>
        <w:t> </w:t>
      </w:r>
      <w:r>
        <w:rPr/>
        <w:t>atendidos</w:t>
      </w:r>
      <w:r>
        <w:rPr>
          <w:spacing w:val="-2"/>
        </w:rPr>
        <w:t> </w:t>
      </w:r>
      <w:r>
        <w:rPr/>
        <w:t>(vacunación,</w:t>
      </w:r>
      <w:r>
        <w:rPr>
          <w:spacing w:val="-2"/>
        </w:rPr>
        <w:t> </w:t>
      </w:r>
      <w:r>
        <w:rPr/>
        <w:t>egresos hospitalarios, lista de espera, entre otros), sin embargo, la devolución de esta información desde MINSAL se interrumpió al comenzar el funcionamiento de este Servicio en el mes de octubre de 2021, dado que la contraparte no reconocía su carácter de continuador legal de este convenio, aun cuando el artículo 58 de la ley N°21.302 así lo </w:t>
      </w:r>
      <w:r>
        <w:rPr>
          <w:spacing w:val="-2"/>
        </w:rPr>
        <w:t>establece.</w:t>
      </w:r>
    </w:p>
    <w:p>
      <w:pPr>
        <w:pStyle w:val="BodyText"/>
        <w:spacing w:line="249" w:lineRule="auto" w:before="126"/>
        <w:ind w:left="474" w:right="48" w:firstLine="300"/>
        <w:jc w:val="both"/>
      </w:pPr>
      <w:r>
        <w:rPr/>
        <w:t>Como resultado de aquello, desde 2021 hasta 2024, este Servicio no recibió datos sobre la situación de salud de niños, niñas, adolescentes y jóvenes atendidos por nuestra oferta programática, tiempo durante el cual se gestionó la suscripción de un nuevo convenio con el Ministerio de Salud, cuya tramitación terminó hacia ﬁnales del 2024 tras dos años</w:t>
      </w:r>
      <w:r>
        <w:rPr>
          <w:spacing w:val="-3"/>
        </w:rPr>
        <w:t> </w:t>
      </w:r>
      <w:r>
        <w:rPr/>
        <w:t>de</w:t>
      </w:r>
      <w:r>
        <w:rPr>
          <w:spacing w:val="-3"/>
        </w:rPr>
        <w:t> </w:t>
      </w:r>
      <w:r>
        <w:rPr/>
        <w:t>discusión,</w:t>
      </w:r>
      <w:r>
        <w:rPr>
          <w:spacing w:val="-3"/>
        </w:rPr>
        <w:t> </w:t>
      </w:r>
      <w:r>
        <w:rPr/>
        <w:t>siendo</w:t>
      </w:r>
      <w:r>
        <w:rPr>
          <w:spacing w:val="-3"/>
        </w:rPr>
        <w:t> </w:t>
      </w:r>
      <w:r>
        <w:rPr/>
        <w:t>aprobado</w:t>
      </w:r>
      <w:r>
        <w:rPr>
          <w:spacing w:val="-3"/>
        </w:rPr>
        <w:t> </w:t>
      </w:r>
      <w:r>
        <w:rPr/>
        <w:t>por</w:t>
      </w:r>
      <w:r>
        <w:rPr>
          <w:spacing w:val="-3"/>
        </w:rPr>
        <w:t> </w:t>
      </w:r>
      <w:r>
        <w:rPr/>
        <w:t>este</w:t>
      </w:r>
      <w:r>
        <w:rPr>
          <w:spacing w:val="-3"/>
        </w:rPr>
        <w:t> </w:t>
      </w:r>
      <w:r>
        <w:rPr/>
        <w:t>Servicio</w:t>
      </w:r>
      <w:r>
        <w:rPr>
          <w:spacing w:val="-3"/>
        </w:rPr>
        <w:t> </w:t>
      </w:r>
      <w:r>
        <w:rPr/>
        <w:t>a</w:t>
      </w:r>
      <w:r>
        <w:rPr>
          <w:spacing w:val="-3"/>
        </w:rPr>
        <w:t> </w:t>
      </w:r>
      <w:r>
        <w:rPr/>
        <w:t>través</w:t>
      </w:r>
      <w:r>
        <w:rPr>
          <w:spacing w:val="-3"/>
        </w:rPr>
        <w:t> </w:t>
      </w:r>
      <w:r>
        <w:rPr/>
        <w:t>de</w:t>
      </w:r>
      <w:r>
        <w:rPr>
          <w:spacing w:val="-3"/>
        </w:rPr>
        <w:t> </w:t>
      </w:r>
      <w:r>
        <w:rPr/>
        <w:t>la</w:t>
      </w:r>
      <w:r>
        <w:rPr>
          <w:spacing w:val="-3"/>
        </w:rPr>
        <w:t> </w:t>
      </w:r>
      <w:r>
        <w:rPr/>
        <w:t>resolución</w:t>
      </w:r>
      <w:r>
        <w:rPr>
          <w:spacing w:val="-3"/>
        </w:rPr>
        <w:t> </w:t>
      </w:r>
      <w:r>
        <w:rPr/>
        <w:t>exenta</w:t>
      </w:r>
      <w:r>
        <w:rPr>
          <w:spacing w:val="-3"/>
        </w:rPr>
        <w:t> </w:t>
      </w:r>
      <w:r>
        <w:rPr/>
        <w:t>N°1.258</w:t>
      </w:r>
      <w:r>
        <w:rPr>
          <w:spacing w:val="-3"/>
        </w:rPr>
        <w:t> </w:t>
      </w:r>
      <w:r>
        <w:rPr/>
        <w:t>del</w:t>
      </w:r>
      <w:r>
        <w:rPr>
          <w:spacing w:val="-3"/>
        </w:rPr>
        <w:t> </w:t>
      </w:r>
      <w:r>
        <w:rPr/>
        <w:t>13</w:t>
      </w:r>
      <w:r>
        <w:rPr>
          <w:spacing w:val="-3"/>
        </w:rPr>
        <w:t> </w:t>
      </w:r>
      <w:r>
        <w:rPr/>
        <w:t>de</w:t>
      </w:r>
      <w:r>
        <w:rPr>
          <w:spacing w:val="-3"/>
        </w:rPr>
        <w:t> </w:t>
      </w:r>
      <w:r>
        <w:rPr/>
        <w:t>noviembre</w:t>
      </w:r>
      <w:r>
        <w:rPr>
          <w:spacing w:val="-3"/>
        </w:rPr>
        <w:t> </w:t>
      </w:r>
      <w:r>
        <w:rPr/>
        <w:t>del </w:t>
      </w:r>
      <w:r>
        <w:rPr>
          <w:spacing w:val="-2"/>
        </w:rPr>
        <w:t>2024.</w:t>
      </w:r>
    </w:p>
    <w:p>
      <w:pPr>
        <w:pStyle w:val="BodyText"/>
        <w:spacing w:after="0" w:line="249" w:lineRule="auto"/>
        <w:jc w:val="both"/>
        <w:sectPr>
          <w:footerReference w:type="default" r:id="rId5"/>
          <w:type w:val="continuous"/>
          <w:pgSz w:w="11900" w:h="16840"/>
          <w:pgMar w:header="0" w:footer="285" w:top="360" w:bottom="480" w:left="708" w:right="1133"/>
          <w:pgNumType w:start="1"/>
        </w:sectPr>
      </w:pPr>
    </w:p>
    <w:p>
      <w:pPr>
        <w:pStyle w:val="BodyText"/>
        <w:spacing w:line="249" w:lineRule="auto" w:before="40"/>
        <w:ind w:left="474" w:right="47" w:firstLine="300"/>
        <w:jc w:val="both"/>
      </w:pPr>
      <w:r>
        <w:rPr/>
        <w:t>Al contar con un convenio sobre transferencia de datos desde noviembre de 2024, el Servicio puede acceder nuevamente a ocho campos de información: vacuna programática, vacuna de campaña, vacunatorio internacional, egresos hospitalarios, defunciones, nacimientos, inscripciones en atención primaria de salud (APS) y lista de espera División de Gestión de Redes Asistenciales de Salud (DIGERA).</w:t>
      </w:r>
    </w:p>
    <w:p>
      <w:pPr>
        <w:pStyle w:val="BodyText"/>
        <w:spacing w:line="249" w:lineRule="auto" w:before="123"/>
        <w:ind w:left="474" w:right="47" w:firstLine="300"/>
        <w:jc w:val="both"/>
      </w:pPr>
      <w:r>
        <w:rPr/>
        <w:t>El</w:t>
      </w:r>
      <w:r>
        <w:rPr>
          <w:spacing w:val="-2"/>
        </w:rPr>
        <w:t> </w:t>
      </w:r>
      <w:r>
        <w:rPr/>
        <w:t>octavo</w:t>
      </w:r>
      <w:r>
        <w:rPr>
          <w:spacing w:val="-2"/>
        </w:rPr>
        <w:t> </w:t>
      </w:r>
      <w:r>
        <w:rPr/>
        <w:t>de</w:t>
      </w:r>
      <w:r>
        <w:rPr>
          <w:spacing w:val="-2"/>
        </w:rPr>
        <w:t> </w:t>
      </w:r>
      <w:r>
        <w:rPr/>
        <w:t>los</w:t>
      </w:r>
      <w:r>
        <w:rPr>
          <w:spacing w:val="-2"/>
        </w:rPr>
        <w:t> </w:t>
      </w:r>
      <w:r>
        <w:rPr/>
        <w:t>campos</w:t>
      </w:r>
      <w:r>
        <w:rPr>
          <w:spacing w:val="-2"/>
        </w:rPr>
        <w:t> </w:t>
      </w:r>
      <w:r>
        <w:rPr/>
        <w:t>de</w:t>
      </w:r>
      <w:r>
        <w:rPr>
          <w:spacing w:val="-2"/>
        </w:rPr>
        <w:t> </w:t>
      </w:r>
      <w:r>
        <w:rPr/>
        <w:t>información</w:t>
      </w:r>
      <w:r>
        <w:rPr>
          <w:spacing w:val="-2"/>
        </w:rPr>
        <w:t> </w:t>
      </w:r>
      <w:r>
        <w:rPr/>
        <w:t>de</w:t>
      </w:r>
      <w:r>
        <w:rPr>
          <w:spacing w:val="-2"/>
        </w:rPr>
        <w:t> </w:t>
      </w:r>
      <w:r>
        <w:rPr/>
        <w:t>los</w:t>
      </w:r>
      <w:r>
        <w:rPr>
          <w:spacing w:val="-2"/>
        </w:rPr>
        <w:t> </w:t>
      </w:r>
      <w:r>
        <w:rPr/>
        <w:t>niños,</w:t>
      </w:r>
      <w:r>
        <w:rPr>
          <w:spacing w:val="-2"/>
        </w:rPr>
        <w:t> </w:t>
      </w:r>
      <w:r>
        <w:rPr/>
        <w:t>niñas</w:t>
      </w:r>
      <w:r>
        <w:rPr>
          <w:spacing w:val="-2"/>
        </w:rPr>
        <w:t> </w:t>
      </w:r>
      <w:r>
        <w:rPr/>
        <w:t>y</w:t>
      </w:r>
      <w:r>
        <w:rPr>
          <w:spacing w:val="-2"/>
        </w:rPr>
        <w:t> </w:t>
      </w:r>
      <w:r>
        <w:rPr/>
        <w:t>adolescentes</w:t>
      </w:r>
      <w:r>
        <w:rPr>
          <w:spacing w:val="-2"/>
        </w:rPr>
        <w:t> </w:t>
      </w:r>
      <w:r>
        <w:rPr/>
        <w:t>atendidos</w:t>
      </w:r>
      <w:r>
        <w:rPr>
          <w:spacing w:val="-2"/>
        </w:rPr>
        <w:t> </w:t>
      </w:r>
      <w:r>
        <w:rPr/>
        <w:t>en</w:t>
      </w:r>
      <w:r>
        <w:rPr>
          <w:spacing w:val="-2"/>
        </w:rPr>
        <w:t> </w:t>
      </w:r>
      <w:r>
        <w:rPr/>
        <w:t>los</w:t>
      </w:r>
      <w:r>
        <w:rPr>
          <w:spacing w:val="-2"/>
        </w:rPr>
        <w:t> </w:t>
      </w:r>
      <w:r>
        <w:rPr/>
        <w:t>programas</w:t>
      </w:r>
      <w:r>
        <w:rPr>
          <w:spacing w:val="-2"/>
        </w:rPr>
        <w:t> </w:t>
      </w:r>
      <w:r>
        <w:rPr/>
        <w:t>del</w:t>
      </w:r>
      <w:r>
        <w:rPr>
          <w:spacing w:val="-2"/>
        </w:rPr>
        <w:t> </w:t>
      </w:r>
      <w:r>
        <w:rPr/>
        <w:t>Servicio corresponde a datos sobre la lista de espera de nuestros sujetos de atención para su atención en salud, sin embargo esta información no ha sido recibida por este Servicio, siendo una información fundamental para los diferentes niveles de gestión.</w:t>
      </w:r>
    </w:p>
    <w:p>
      <w:pPr>
        <w:pStyle w:val="BodyText"/>
        <w:spacing w:line="249" w:lineRule="auto" w:before="123"/>
        <w:ind w:left="474" w:right="37" w:firstLine="300"/>
        <w:jc w:val="both"/>
      </w:pPr>
      <w:r>
        <w:rPr/>
        <w:t>Dado lo anterior, actualmente este Servicio solo cuenta con la información publicada en la página institucional del Ministerio de Salud, correspondiente al oﬁcio N°2169/2025 de fecha 31 de enero del 2025 de la Subsecretaria de Redes Asistenciales</w:t>
      </w:r>
      <w:r>
        <w:rPr>
          <w:spacing w:val="40"/>
        </w:rPr>
        <w:t> </w:t>
      </w:r>
      <w:r>
        <w:rPr/>
        <w:t>remitido a la Cámara de Diputados y al Senado donde acompaña informe relativo a la glosa N°6 de la ley de presupuestos del año 2024 sobre Lista de espera no GES y Garantías de oportunidad GES retrasadas, informe en cuya página 38 se da cuenta sobre la lista de espera de niños, niñas y adolescentes en programas del Servicio</w:t>
      </w:r>
      <w:r>
        <w:rPr>
          <w:spacing w:val="-3"/>
        </w:rPr>
        <w:t> </w:t>
      </w:r>
      <w:r>
        <w:rPr/>
        <w:t>Nacional</w:t>
      </w:r>
      <w:r>
        <w:rPr>
          <w:spacing w:val="-3"/>
        </w:rPr>
        <w:t> </w:t>
      </w:r>
      <w:r>
        <w:rPr/>
        <w:t>de</w:t>
      </w:r>
      <w:r>
        <w:rPr>
          <w:spacing w:val="-3"/>
        </w:rPr>
        <w:t> </w:t>
      </w:r>
      <w:r>
        <w:rPr/>
        <w:t>Menores</w:t>
      </w:r>
      <w:r>
        <w:rPr>
          <w:spacing w:val="-3"/>
        </w:rPr>
        <w:t> </w:t>
      </w:r>
      <w:r>
        <w:rPr/>
        <w:t>y</w:t>
      </w:r>
      <w:r>
        <w:rPr>
          <w:spacing w:val="-3"/>
        </w:rPr>
        <w:t> </w:t>
      </w:r>
      <w:r>
        <w:rPr/>
        <w:t>del</w:t>
      </w:r>
      <w:r>
        <w:rPr>
          <w:spacing w:val="-3"/>
        </w:rPr>
        <w:t> </w:t>
      </w:r>
      <w:r>
        <w:rPr/>
        <w:t>Servicio</w:t>
      </w:r>
      <w:r>
        <w:rPr>
          <w:spacing w:val="-3"/>
        </w:rPr>
        <w:t> </w:t>
      </w:r>
      <w:r>
        <w:rPr/>
        <w:t>Nacional</w:t>
      </w:r>
      <w:r>
        <w:rPr>
          <w:spacing w:val="-3"/>
        </w:rPr>
        <w:t> </w:t>
      </w:r>
      <w:r>
        <w:rPr/>
        <w:t>de</w:t>
      </w:r>
      <w:r>
        <w:rPr>
          <w:spacing w:val="-3"/>
        </w:rPr>
        <w:t> </w:t>
      </w:r>
      <w:r>
        <w:rPr/>
        <w:t>Protección</w:t>
      </w:r>
      <w:r>
        <w:rPr>
          <w:spacing w:val="-3"/>
        </w:rPr>
        <w:t> </w:t>
      </w:r>
      <w:r>
        <w:rPr/>
        <w:t>Especializada</w:t>
      </w:r>
      <w:r>
        <w:rPr>
          <w:spacing w:val="-3"/>
        </w:rPr>
        <w:t> </w:t>
      </w:r>
      <w:r>
        <w:rPr/>
        <w:t>a</w:t>
      </w:r>
      <w:r>
        <w:rPr>
          <w:spacing w:val="-3"/>
        </w:rPr>
        <w:t> </w:t>
      </w:r>
      <w:r>
        <w:rPr/>
        <w:t>la</w:t>
      </w:r>
      <w:r>
        <w:rPr>
          <w:spacing w:val="-3"/>
        </w:rPr>
        <w:t> </w:t>
      </w:r>
      <w:r>
        <w:rPr/>
        <w:t>Niñez</w:t>
      </w:r>
      <w:r>
        <w:rPr>
          <w:spacing w:val="-3"/>
        </w:rPr>
        <w:t> </w:t>
      </w:r>
      <w:r>
        <w:rPr/>
        <w:t>y</w:t>
      </w:r>
      <w:r>
        <w:rPr>
          <w:spacing w:val="-3"/>
        </w:rPr>
        <w:t> </w:t>
      </w:r>
      <w:r>
        <w:rPr/>
        <w:t>Adolescencia,</w:t>
      </w:r>
      <w:r>
        <w:rPr>
          <w:spacing w:val="-3"/>
        </w:rPr>
        <w:t> </w:t>
      </w:r>
      <w:r>
        <w:rPr/>
        <w:t>indicando lo siguiente: “…Respecto a la Lista de espera para NNA vinculados a programas del Servicio Nacional de Menores o del Servicio Nacional de Protección Especializada a la Niñez y Adolescencia, en régimen residencial, se observa un total de 1.703 de interconsultas en espera, lo que corresponde a 1.281 personas. El 92,2% de las interconsultas corresponden a consulta nueva de especialidad y el 7% restante a intervenciones quirúrgicas…”.</w:t>
      </w:r>
    </w:p>
    <w:p>
      <w:pPr>
        <w:pStyle w:val="BodyText"/>
        <w:spacing w:line="249" w:lineRule="auto" w:before="128"/>
        <w:ind w:left="474" w:right="48" w:firstLine="300"/>
        <w:jc w:val="both"/>
      </w:pPr>
      <w:r>
        <w:rPr/>
        <w:t>El Servicio ha presentado reiteradamente requerimientos a la Subsecretaría de Redes Asistenciales para el cumplimiento de compromisos consignados en el convenio de transferencia de datos, a ﬁn de obtener en este nivel central la base de datos sobre niños/as, adolescentes y jóvenes atendidos en protección especializada que se encuentran en lista de espera, a la fecha sin resultados.</w:t>
      </w:r>
    </w:p>
    <w:p>
      <w:pPr>
        <w:pStyle w:val="BodyText"/>
        <w:spacing w:line="249" w:lineRule="auto" w:before="124"/>
        <w:ind w:left="474" w:right="46" w:firstLine="300"/>
        <w:jc w:val="both"/>
      </w:pPr>
      <w:r>
        <w:rPr/>
        <w:t>Sin perjuicio de lo anterior, la Subsecretaría de Redes Asistenciales aﬁrma que despliega en forma continua e ininterrumpida un mecanismo de priorización de la lista de espera especíﬁca para población bajo cuidado del Estado (entendida como SPE, SNRSJ y SENAME), a través de la acción de monitoreo por parte de gestores de lista de</w:t>
      </w:r>
      <w:r>
        <w:rPr>
          <w:spacing w:val="80"/>
        </w:rPr>
        <w:t> </w:t>
      </w:r>
      <w:r>
        <w:rPr/>
        <w:t>espera ubicados en sus 29 Servicios de Salud, estando asociada la resolución de estos casos incluso a una meta de gestión</w:t>
      </w:r>
      <w:r>
        <w:rPr>
          <w:spacing w:val="-2"/>
        </w:rPr>
        <w:t> </w:t>
      </w:r>
      <w:r>
        <w:rPr/>
        <w:t>del</w:t>
      </w:r>
      <w:r>
        <w:rPr>
          <w:spacing w:val="-2"/>
        </w:rPr>
        <w:t> </w:t>
      </w:r>
      <w:r>
        <w:rPr/>
        <w:t>sector</w:t>
      </w:r>
      <w:r>
        <w:rPr>
          <w:spacing w:val="-2"/>
        </w:rPr>
        <w:t> </w:t>
      </w:r>
      <w:r>
        <w:rPr/>
        <w:t>salud</w:t>
      </w:r>
      <w:r>
        <w:rPr>
          <w:spacing w:val="-2"/>
        </w:rPr>
        <w:t> </w:t>
      </w:r>
      <w:r>
        <w:rPr/>
        <w:t>("COMGES").</w:t>
      </w:r>
      <w:r>
        <w:rPr>
          <w:spacing w:val="-2"/>
        </w:rPr>
        <w:t> </w:t>
      </w:r>
      <w:r>
        <w:rPr/>
        <w:t>Ante</w:t>
      </w:r>
      <w:r>
        <w:rPr>
          <w:spacing w:val="-2"/>
        </w:rPr>
        <w:t> </w:t>
      </w:r>
      <w:r>
        <w:rPr/>
        <w:t>estos</w:t>
      </w:r>
      <w:r>
        <w:rPr>
          <w:spacing w:val="-2"/>
        </w:rPr>
        <w:t> </w:t>
      </w:r>
      <w:r>
        <w:rPr/>
        <w:t>casos,</w:t>
      </w:r>
      <w:r>
        <w:rPr>
          <w:spacing w:val="-2"/>
        </w:rPr>
        <w:t> </w:t>
      </w:r>
      <w:r>
        <w:rPr/>
        <w:t>es</w:t>
      </w:r>
      <w:r>
        <w:rPr>
          <w:spacing w:val="-2"/>
        </w:rPr>
        <w:t> </w:t>
      </w:r>
      <w:r>
        <w:rPr/>
        <w:t>de</w:t>
      </w:r>
      <w:r>
        <w:rPr>
          <w:spacing w:val="-2"/>
        </w:rPr>
        <w:t> </w:t>
      </w:r>
      <w:r>
        <w:rPr/>
        <w:t>esperar</w:t>
      </w:r>
      <w:r>
        <w:rPr>
          <w:spacing w:val="-2"/>
        </w:rPr>
        <w:t> </w:t>
      </w:r>
      <w:r>
        <w:rPr/>
        <w:t>que</w:t>
      </w:r>
      <w:r>
        <w:rPr>
          <w:spacing w:val="-2"/>
        </w:rPr>
        <w:t> </w:t>
      </w:r>
      <w:r>
        <w:rPr/>
        <w:t>los</w:t>
      </w:r>
      <w:r>
        <w:rPr>
          <w:spacing w:val="-2"/>
        </w:rPr>
        <w:t> </w:t>
      </w:r>
      <w:r>
        <w:rPr/>
        <w:t>dispositivos</w:t>
      </w:r>
      <w:r>
        <w:rPr>
          <w:spacing w:val="-2"/>
        </w:rPr>
        <w:t> </w:t>
      </w:r>
      <w:r>
        <w:rPr/>
        <w:t>de</w:t>
      </w:r>
      <w:r>
        <w:rPr>
          <w:spacing w:val="-2"/>
        </w:rPr>
        <w:t> </w:t>
      </w:r>
      <w:r>
        <w:rPr/>
        <w:t>salud</w:t>
      </w:r>
      <w:r>
        <w:rPr>
          <w:spacing w:val="-2"/>
        </w:rPr>
        <w:t> </w:t>
      </w:r>
      <w:r>
        <w:rPr/>
        <w:t>alertados</w:t>
      </w:r>
      <w:r>
        <w:rPr>
          <w:spacing w:val="-2"/>
        </w:rPr>
        <w:t> </w:t>
      </w:r>
      <w:r>
        <w:rPr/>
        <w:t>de</w:t>
      </w:r>
      <w:r>
        <w:rPr>
          <w:spacing w:val="-2"/>
        </w:rPr>
        <w:t> </w:t>
      </w:r>
      <w:r>
        <w:rPr/>
        <w:t>estas nóminas, contacten a estos pacientes para brindar oportunamente las horas pendientes.</w:t>
      </w:r>
    </w:p>
    <w:p>
      <w:pPr>
        <w:pStyle w:val="BodyText"/>
        <w:spacing w:line="249" w:lineRule="auto" w:before="124"/>
        <w:ind w:left="474" w:right="50" w:firstLine="300"/>
        <w:jc w:val="both"/>
      </w:pPr>
      <w:r>
        <w:rPr/>
        <w:t>Si bien desde el nivel central del Servicio no se ha logrado obtener un balance agregado del rendimiento de estos mecanismos de gestión, pese a los requerimientos enviados a la Subsecretaría de Redes Asistenciales, estas estrategias deben estar operativas por encontrarse en la normativa del sector salud.</w:t>
      </w:r>
    </w:p>
    <w:p>
      <w:pPr>
        <w:pStyle w:val="BodyText"/>
        <w:spacing w:line="249" w:lineRule="auto" w:before="123"/>
        <w:ind w:left="474" w:right="50" w:firstLine="300"/>
        <w:jc w:val="both"/>
      </w:pPr>
      <w:r>
        <w:rPr/>
        <w:t>Es por lo anterior, y atendido que la información detalla que se requiere a través del oﬁcio del epígrafe, es administrada por la Subsecretaría de Redes Asistenciales del Ministerio de Salud, sugerimos a usted efectuar el requerimiento de información a dicha Secretaría de Estado.</w:t>
      </w:r>
    </w:p>
    <w:p>
      <w:pPr>
        <w:pStyle w:val="BodyText"/>
        <w:spacing w:line="249" w:lineRule="auto" w:before="122"/>
        <w:ind w:left="474" w:right="46" w:firstLine="300"/>
        <w:jc w:val="both"/>
      </w:pPr>
      <w:r>
        <w:rPr/>
        <w:t>Finalmente, y en cuanto a las gestiones realizadas por este Servicio a ﬁn de garantizar el acceso a la salud de los niños, niñas y adolescentes atendidos por la oferta programática de nuestro Servicio, junto con las gestiones ya señaladas, informo a usted que a partir del año 2017 el Servicio Nacional de Menores, del cual este Servicio es continuador legal en el ámbito de protección de derechos de la niñez y adolescencia conforme dispone el artículo 58</w:t>
      </w:r>
      <w:r>
        <w:rPr>
          <w:spacing w:val="40"/>
        </w:rPr>
        <w:t> </w:t>
      </w:r>
      <w:r>
        <w:rPr/>
        <w:t>de la ley N°21.302, instaló conjuntamente con el Ministerio de Salud y el Servicio Nacional para la Prevención y Rehabilitación del Consumo de Drogas y Alcohol (SENDA) el “Sistema Intersectorial de Salud Integral, con énfasis en salud mental, para NNAJ con vulneración de derechos y/o bajo la Ley de Responsabilidad Penal Adolescente, en adelante SISI.” Dicho sistema, comenzó con una implementación gradual en la totalidad de los 29 Servicios de Salud del país.</w:t>
      </w:r>
    </w:p>
    <w:p>
      <w:pPr>
        <w:pStyle w:val="BodyText"/>
        <w:spacing w:line="249" w:lineRule="auto" w:before="128"/>
        <w:ind w:left="474" w:right="51" w:firstLine="300"/>
        <w:jc w:val="both"/>
      </w:pPr>
      <w:r>
        <w:rPr/>
        <w:t>El SISI corresponde a una estrategia intersectorial, que tiene por objetivo "dar una respuesta oportuna, eﬁciente, integral y de calidad a las necesidades de salud de las poblaciones anteriormente señaladas, contemplando acciones orientadas a la promoción del bienestar bio-psico-social, desarrollar acciones preventivas, detectar tempranamente la presencia de problemas, síntomas o trastornos que pudieran afectar su salud, asegurar la continuidad de los cuidados en</w:t>
      </w:r>
      <w:r>
        <w:rPr>
          <w:spacing w:val="-1"/>
        </w:rPr>
        <w:t> </w:t>
      </w:r>
      <w:r>
        <w:rPr/>
        <w:t>salud,</w:t>
      </w:r>
      <w:r>
        <w:rPr>
          <w:spacing w:val="-1"/>
        </w:rPr>
        <w:t> </w:t>
      </w:r>
      <w:r>
        <w:rPr/>
        <w:t>entre</w:t>
      </w:r>
      <w:r>
        <w:rPr>
          <w:spacing w:val="-1"/>
        </w:rPr>
        <w:t> </w:t>
      </w:r>
      <w:r>
        <w:rPr/>
        <w:t>otros desafíos,</w:t>
      </w:r>
      <w:r>
        <w:rPr>
          <w:spacing w:val="-1"/>
        </w:rPr>
        <w:t> </w:t>
      </w:r>
      <w:r>
        <w:rPr/>
        <w:t>que</w:t>
      </w:r>
      <w:r>
        <w:rPr>
          <w:spacing w:val="-1"/>
        </w:rPr>
        <w:t> </w:t>
      </w:r>
      <w:r>
        <w:rPr/>
        <w:t>permitan</w:t>
      </w:r>
      <w:r>
        <w:rPr>
          <w:spacing w:val="-1"/>
        </w:rPr>
        <w:t> </w:t>
      </w:r>
      <w:r>
        <w:rPr/>
        <w:t>acompañar</w:t>
      </w:r>
      <w:r>
        <w:rPr>
          <w:spacing w:val="-1"/>
        </w:rPr>
        <w:t> </w:t>
      </w:r>
      <w:r>
        <w:rPr/>
        <w:t>sus trayectorias de</w:t>
      </w:r>
      <w:r>
        <w:rPr>
          <w:spacing w:val="-1"/>
        </w:rPr>
        <w:t> </w:t>
      </w:r>
      <w:r>
        <w:rPr/>
        <w:t>vida,</w:t>
      </w:r>
      <w:r>
        <w:rPr>
          <w:spacing w:val="-1"/>
        </w:rPr>
        <w:t> </w:t>
      </w:r>
      <w:r>
        <w:rPr/>
        <w:t>considerando</w:t>
      </w:r>
      <w:r>
        <w:rPr>
          <w:spacing w:val="-1"/>
        </w:rPr>
        <w:t> </w:t>
      </w:r>
      <w:r>
        <w:rPr/>
        <w:t>una</w:t>
      </w:r>
      <w:r>
        <w:rPr>
          <w:spacing w:val="-1"/>
        </w:rPr>
        <w:t> </w:t>
      </w:r>
      <w:r>
        <w:rPr/>
        <w:t>plena participación familiar, social y comunitaria".</w:t>
      </w:r>
    </w:p>
    <w:p>
      <w:pPr>
        <w:pStyle w:val="BodyText"/>
        <w:spacing w:line="249" w:lineRule="auto" w:before="124"/>
        <w:ind w:left="474" w:right="51" w:firstLine="300"/>
        <w:jc w:val="both"/>
      </w:pPr>
      <w:r>
        <w:rPr/>
        <w:t>Lo anterior se traduce en una estrategia de coordinación en tres niveles: microgestión (dispositivos locales en los territorios); mesogestión (equipos de gestión intersectorial los cuales se reúnen en referencia a cada Servicio de Salud); y macrogestión (mesa nacional).</w:t>
      </w:r>
    </w:p>
    <w:p>
      <w:pPr>
        <w:pStyle w:val="BodyText"/>
        <w:spacing w:line="249" w:lineRule="auto" w:before="123"/>
        <w:ind w:left="474" w:right="46" w:firstLine="300"/>
        <w:jc w:val="both"/>
      </w:pPr>
      <w:r>
        <w:rPr/>
        <w:t>El Ministerio de Salud reporta que ha asignado recursos de expansión y continuidad de manera progresiva desde</w:t>
      </w:r>
      <w:r>
        <w:rPr>
          <w:spacing w:val="40"/>
        </w:rPr>
        <w:t> </w:t>
      </w:r>
      <w:r>
        <w:rPr/>
        <w:t>el año 2017. Este ﬁnanciamiento va destinado al refuerzo de: atención de salud general y salud mental en Atención Primaria (programa de reforzamiento de la atención primaria de salud -PRAPS) para mejorar la oportunidad de la respuesta a las necesidades en salud específicamente de niños, niñas y adolescentes atendidos/as por el Servicio.</w:t>
      </w:r>
    </w:p>
    <w:p>
      <w:pPr>
        <w:pStyle w:val="BodyText"/>
        <w:spacing w:line="249" w:lineRule="auto" w:before="123"/>
        <w:ind w:left="474" w:right="48" w:firstLine="300"/>
        <w:jc w:val="both"/>
      </w:pPr>
      <w:r>
        <w:rPr/>
        <w:t>Estos incluyen un plan de vinculación comunal entre los CESFAM y todos los programas del territorio, entre los cuales necesariamente debe considerarse al Servicio, prestaciones de salud general como médico, enfermero/a, nutricionista y otros; prestaciones de salud mental de médico, psicólogo/a y trabajador/a social en la atención primaria; recurso humano de los equipos de salud mental comunitaria de especialidad, además de refuerzo en equipamiento y gastos operativos, ya que este Sistema demanda mayor atención y mayor participación en reuniones técnicas, capacitaciones y otras actividades regulares del centro, así como contratación de Gestores Intersectoriales en los Servicios de Salud.</w:t>
      </w:r>
    </w:p>
    <w:p>
      <w:pPr>
        <w:pStyle w:val="BodyText"/>
        <w:spacing w:line="249" w:lineRule="auto" w:before="126"/>
        <w:ind w:left="474" w:right="54" w:firstLine="300"/>
        <w:jc w:val="both"/>
      </w:pPr>
      <w:r>
        <w:rPr/>
        <w:t>Sin embargo, el Servicio no ha recibido reporte desde el Ministerio de Salud sobre el destino especíﬁco de asignación de estos recursos e impacto asociado en la respuesta de la población objetivo.</w:t>
      </w:r>
    </w:p>
    <w:p>
      <w:pPr>
        <w:pStyle w:val="BodyText"/>
        <w:spacing w:before="121"/>
        <w:ind w:left="774"/>
      </w:pPr>
      <w:r>
        <w:rPr/>
        <w:t>Ahora</w:t>
      </w:r>
      <w:r>
        <w:rPr>
          <w:spacing w:val="2"/>
        </w:rPr>
        <w:t> </w:t>
      </w:r>
      <w:r>
        <w:rPr/>
        <w:t>bien,</w:t>
      </w:r>
      <w:r>
        <w:rPr>
          <w:spacing w:val="2"/>
        </w:rPr>
        <w:t> </w:t>
      </w:r>
      <w:r>
        <w:rPr/>
        <w:t>el</w:t>
      </w:r>
      <w:r>
        <w:rPr>
          <w:spacing w:val="3"/>
        </w:rPr>
        <w:t> </w:t>
      </w:r>
      <w:r>
        <w:rPr/>
        <w:t>SISI</w:t>
      </w:r>
      <w:r>
        <w:rPr>
          <w:spacing w:val="2"/>
        </w:rPr>
        <w:t> </w:t>
      </w:r>
      <w:r>
        <w:rPr/>
        <w:t>tiene</w:t>
      </w:r>
      <w:r>
        <w:rPr>
          <w:spacing w:val="2"/>
        </w:rPr>
        <w:t> </w:t>
      </w:r>
      <w:r>
        <w:rPr/>
        <w:t>potencial</w:t>
      </w:r>
      <w:r>
        <w:rPr>
          <w:spacing w:val="3"/>
        </w:rPr>
        <w:t> </w:t>
      </w:r>
      <w:r>
        <w:rPr/>
        <w:t>para</w:t>
      </w:r>
      <w:r>
        <w:rPr>
          <w:spacing w:val="2"/>
        </w:rPr>
        <w:t> </w:t>
      </w:r>
      <w:r>
        <w:rPr/>
        <w:t>brindar</w:t>
      </w:r>
      <w:r>
        <w:rPr>
          <w:spacing w:val="3"/>
        </w:rPr>
        <w:t> </w:t>
      </w:r>
      <w:r>
        <w:rPr/>
        <w:t>solución</w:t>
      </w:r>
      <w:r>
        <w:rPr>
          <w:spacing w:val="2"/>
        </w:rPr>
        <w:t> </w:t>
      </w:r>
      <w:r>
        <w:rPr/>
        <w:t>a</w:t>
      </w:r>
      <w:r>
        <w:rPr>
          <w:spacing w:val="2"/>
        </w:rPr>
        <w:t> </w:t>
      </w:r>
      <w:r>
        <w:rPr/>
        <w:t>las</w:t>
      </w:r>
      <w:r>
        <w:rPr>
          <w:spacing w:val="3"/>
        </w:rPr>
        <w:t> </w:t>
      </w:r>
      <w:r>
        <w:rPr/>
        <w:t>brechas</w:t>
      </w:r>
      <w:r>
        <w:rPr>
          <w:spacing w:val="2"/>
        </w:rPr>
        <w:t> </w:t>
      </w:r>
      <w:r>
        <w:rPr/>
        <w:t>de</w:t>
      </w:r>
      <w:r>
        <w:rPr>
          <w:spacing w:val="3"/>
        </w:rPr>
        <w:t> </w:t>
      </w:r>
      <w:r>
        <w:rPr/>
        <w:t>gestión</w:t>
      </w:r>
      <w:r>
        <w:rPr>
          <w:spacing w:val="2"/>
        </w:rPr>
        <w:t> </w:t>
      </w:r>
      <w:r>
        <w:rPr/>
        <w:t>y</w:t>
      </w:r>
      <w:r>
        <w:rPr>
          <w:spacing w:val="2"/>
        </w:rPr>
        <w:t> </w:t>
      </w:r>
      <w:r>
        <w:rPr/>
        <w:t>coordinación</w:t>
      </w:r>
      <w:r>
        <w:rPr>
          <w:spacing w:val="3"/>
        </w:rPr>
        <w:t> </w:t>
      </w:r>
      <w:r>
        <w:rPr/>
        <w:t>entre</w:t>
      </w:r>
      <w:r>
        <w:rPr>
          <w:spacing w:val="2"/>
        </w:rPr>
        <w:t> </w:t>
      </w:r>
      <w:r>
        <w:rPr/>
        <w:t>los</w:t>
      </w:r>
      <w:r>
        <w:rPr>
          <w:spacing w:val="3"/>
        </w:rPr>
        <w:t> </w:t>
      </w:r>
      <w:r>
        <w:rPr>
          <w:spacing w:val="-2"/>
        </w:rPr>
        <w:t>equipos.</w:t>
      </w:r>
    </w:p>
    <w:p>
      <w:pPr>
        <w:pStyle w:val="BodyText"/>
        <w:spacing w:after="0"/>
        <w:sectPr>
          <w:pgSz w:w="11900" w:h="16840"/>
          <w:pgMar w:header="0" w:footer="285" w:top="400" w:bottom="480" w:left="708" w:right="1133"/>
        </w:sectPr>
      </w:pPr>
    </w:p>
    <w:p>
      <w:pPr>
        <w:pStyle w:val="BodyText"/>
        <w:spacing w:line="249" w:lineRule="auto" w:before="52"/>
        <w:ind w:left="474" w:right="39"/>
        <w:jc w:val="both"/>
      </w:pPr>
      <w:r>
        <w:rPr/>
        <w:t>Para esto se considera que las instituciones deben ser capaces de modelar ciertas formas de solución o buenas prácticas de gestión que se logran visibilizar en unos territorios, pero no necesariamente en otros. Sin embargo, la limitación</w:t>
      </w:r>
      <w:r>
        <w:rPr>
          <w:spacing w:val="-3"/>
        </w:rPr>
        <w:t> </w:t>
      </w:r>
      <w:r>
        <w:rPr/>
        <w:t>del</w:t>
      </w:r>
      <w:r>
        <w:rPr>
          <w:spacing w:val="-3"/>
        </w:rPr>
        <w:t> </w:t>
      </w:r>
      <w:r>
        <w:rPr/>
        <w:t>SISI</w:t>
      </w:r>
      <w:r>
        <w:rPr>
          <w:spacing w:val="-3"/>
        </w:rPr>
        <w:t> </w:t>
      </w:r>
      <w:r>
        <w:rPr/>
        <w:t>dice</w:t>
      </w:r>
      <w:r>
        <w:rPr>
          <w:spacing w:val="-3"/>
        </w:rPr>
        <w:t> </w:t>
      </w:r>
      <w:r>
        <w:rPr/>
        <w:t>relación</w:t>
      </w:r>
      <w:r>
        <w:rPr>
          <w:spacing w:val="-3"/>
        </w:rPr>
        <w:t> </w:t>
      </w:r>
      <w:r>
        <w:rPr/>
        <w:t>con</w:t>
      </w:r>
      <w:r>
        <w:rPr>
          <w:spacing w:val="-3"/>
        </w:rPr>
        <w:t> </w:t>
      </w:r>
      <w:r>
        <w:rPr/>
        <w:t>enfrentar</w:t>
      </w:r>
      <w:r>
        <w:rPr>
          <w:spacing w:val="-3"/>
        </w:rPr>
        <w:t> </w:t>
      </w:r>
      <w:r>
        <w:rPr/>
        <w:t>brechas</w:t>
      </w:r>
      <w:r>
        <w:rPr>
          <w:spacing w:val="-3"/>
        </w:rPr>
        <w:t> </w:t>
      </w:r>
      <w:r>
        <w:rPr/>
        <w:t>de</w:t>
      </w:r>
      <w:r>
        <w:rPr>
          <w:spacing w:val="-3"/>
        </w:rPr>
        <w:t> </w:t>
      </w:r>
      <w:r>
        <w:rPr/>
        <w:t>cobertura</w:t>
      </w:r>
      <w:r>
        <w:rPr>
          <w:spacing w:val="-3"/>
        </w:rPr>
        <w:t> </w:t>
      </w:r>
      <w:r>
        <w:rPr/>
        <w:t>y</w:t>
      </w:r>
      <w:r>
        <w:rPr>
          <w:spacing w:val="-3"/>
        </w:rPr>
        <w:t> </w:t>
      </w:r>
      <w:r>
        <w:rPr/>
        <w:t>brechas</w:t>
      </w:r>
      <w:r>
        <w:rPr>
          <w:spacing w:val="-3"/>
        </w:rPr>
        <w:t> </w:t>
      </w:r>
      <w:r>
        <w:rPr/>
        <w:t>de</w:t>
      </w:r>
      <w:r>
        <w:rPr>
          <w:spacing w:val="-3"/>
        </w:rPr>
        <w:t> </w:t>
      </w:r>
      <w:r>
        <w:rPr/>
        <w:t>oferta,</w:t>
      </w:r>
      <w:r>
        <w:rPr>
          <w:spacing w:val="-3"/>
        </w:rPr>
        <w:t> </w:t>
      </w:r>
      <w:r>
        <w:rPr/>
        <w:t>a</w:t>
      </w:r>
      <w:r>
        <w:rPr>
          <w:spacing w:val="-3"/>
        </w:rPr>
        <w:t> </w:t>
      </w:r>
      <w:r>
        <w:rPr/>
        <w:t>las</w:t>
      </w:r>
      <w:r>
        <w:rPr>
          <w:spacing w:val="-3"/>
        </w:rPr>
        <w:t> </w:t>
      </w:r>
      <w:r>
        <w:rPr/>
        <w:t>cuales</w:t>
      </w:r>
      <w:r>
        <w:rPr>
          <w:spacing w:val="-3"/>
        </w:rPr>
        <w:t> </w:t>
      </w:r>
      <w:r>
        <w:rPr/>
        <w:t>no</w:t>
      </w:r>
      <w:r>
        <w:rPr>
          <w:spacing w:val="-3"/>
        </w:rPr>
        <w:t> </w:t>
      </w:r>
      <w:r>
        <w:rPr/>
        <w:t>tiene</w:t>
      </w:r>
      <w:r>
        <w:rPr>
          <w:spacing w:val="-3"/>
        </w:rPr>
        <w:t> </w:t>
      </w:r>
      <w:r>
        <w:rPr/>
        <w:t>capacidad para responder ya que se reﬁeren a habilitación de recursos. El sistema no tiene capacidad para habilitar oferta nueva cuando esta no existe, ni amplía cobertura cuando esta no alcanza a abarcar la demanda.</w:t>
      </w:r>
    </w:p>
    <w:p>
      <w:pPr>
        <w:pStyle w:val="BodyText"/>
        <w:spacing w:line="249" w:lineRule="auto" w:before="124"/>
        <w:ind w:left="474" w:right="49" w:firstLine="300"/>
        <w:jc w:val="both"/>
      </w:pPr>
      <w:r>
        <w:rPr/>
        <w:t>Es</w:t>
      </w:r>
      <w:r>
        <w:rPr>
          <w:spacing w:val="-1"/>
        </w:rPr>
        <w:t> </w:t>
      </w:r>
      <w:r>
        <w:rPr/>
        <w:t>por</w:t>
      </w:r>
      <w:r>
        <w:rPr>
          <w:spacing w:val="-1"/>
        </w:rPr>
        <w:t> </w:t>
      </w:r>
      <w:r>
        <w:rPr/>
        <w:t>lo</w:t>
      </w:r>
      <w:r>
        <w:rPr>
          <w:spacing w:val="-1"/>
        </w:rPr>
        <w:t> </w:t>
      </w:r>
      <w:r>
        <w:rPr/>
        <w:t>anterior</w:t>
      </w:r>
      <w:r>
        <w:rPr>
          <w:spacing w:val="-1"/>
        </w:rPr>
        <w:t> </w:t>
      </w:r>
      <w:r>
        <w:rPr/>
        <w:t>que</w:t>
      </w:r>
      <w:r>
        <w:rPr>
          <w:spacing w:val="-1"/>
        </w:rPr>
        <w:t> </w:t>
      </w:r>
      <w:r>
        <w:rPr/>
        <w:t>se</w:t>
      </w:r>
      <w:r>
        <w:rPr>
          <w:spacing w:val="-1"/>
        </w:rPr>
        <w:t> </w:t>
      </w:r>
      <w:r>
        <w:rPr/>
        <w:t>requiere</w:t>
      </w:r>
      <w:r>
        <w:rPr>
          <w:spacing w:val="-1"/>
        </w:rPr>
        <w:t> </w:t>
      </w:r>
      <w:r>
        <w:rPr/>
        <w:t>que</w:t>
      </w:r>
      <w:r>
        <w:rPr>
          <w:spacing w:val="-1"/>
        </w:rPr>
        <w:t> </w:t>
      </w:r>
      <w:r>
        <w:rPr/>
        <w:t>desde</w:t>
      </w:r>
      <w:r>
        <w:rPr>
          <w:spacing w:val="-1"/>
        </w:rPr>
        <w:t> </w:t>
      </w:r>
      <w:r>
        <w:rPr/>
        <w:t>el</w:t>
      </w:r>
      <w:r>
        <w:rPr>
          <w:spacing w:val="-1"/>
        </w:rPr>
        <w:t> </w:t>
      </w:r>
      <w:r>
        <w:rPr/>
        <w:t>Ministerio</w:t>
      </w:r>
      <w:r>
        <w:rPr>
          <w:spacing w:val="-1"/>
        </w:rPr>
        <w:t> </w:t>
      </w:r>
      <w:r>
        <w:rPr/>
        <w:t>de</w:t>
      </w:r>
      <w:r>
        <w:rPr>
          <w:spacing w:val="-1"/>
        </w:rPr>
        <w:t> </w:t>
      </w:r>
      <w:r>
        <w:rPr/>
        <w:t>Salud</w:t>
      </w:r>
      <w:r>
        <w:rPr>
          <w:spacing w:val="-1"/>
        </w:rPr>
        <w:t> </w:t>
      </w:r>
      <w:r>
        <w:rPr/>
        <w:t>se</w:t>
      </w:r>
      <w:r>
        <w:rPr>
          <w:spacing w:val="-1"/>
        </w:rPr>
        <w:t> </w:t>
      </w:r>
      <w:r>
        <w:rPr/>
        <w:t>aumenten</w:t>
      </w:r>
      <w:r>
        <w:rPr>
          <w:spacing w:val="-1"/>
        </w:rPr>
        <w:t> </w:t>
      </w:r>
      <w:r>
        <w:rPr/>
        <w:t>las</w:t>
      </w:r>
      <w:r>
        <w:rPr>
          <w:spacing w:val="-1"/>
        </w:rPr>
        <w:t> </w:t>
      </w:r>
      <w:r>
        <w:rPr/>
        <w:t>coberturas</w:t>
      </w:r>
      <w:r>
        <w:rPr>
          <w:spacing w:val="-1"/>
        </w:rPr>
        <w:t> </w:t>
      </w:r>
      <w:r>
        <w:rPr/>
        <w:t>en</w:t>
      </w:r>
      <w:r>
        <w:rPr>
          <w:spacing w:val="-1"/>
        </w:rPr>
        <w:t> </w:t>
      </w:r>
      <w:r>
        <w:rPr/>
        <w:t>nivel</w:t>
      </w:r>
      <w:r>
        <w:rPr>
          <w:spacing w:val="-1"/>
        </w:rPr>
        <w:t> </w:t>
      </w:r>
      <w:r>
        <w:rPr/>
        <w:t>secundario y terciario, especialmente la oferta en dispositivos de reforzamiento del nivel secundario (una buena práctica pueden ser grupos asertivo-comunitarios) que prevengan la croniﬁcación de los cuadros y las hospitalizaciones. Además, es fundamental que el sector salud pueda avanzar en la especialización de intervención en trauma complejo.</w:t>
      </w:r>
    </w:p>
    <w:p>
      <w:pPr>
        <w:pStyle w:val="BodyText"/>
        <w:spacing w:before="123"/>
        <w:ind w:left="420" w:right="5930"/>
        <w:jc w:val="center"/>
      </w:pPr>
      <w:r>
        <w:rPr/>
        <w:t>Lo</w:t>
      </w:r>
      <w:r>
        <w:rPr>
          <w:spacing w:val="-5"/>
        </w:rPr>
        <w:t> </w:t>
      </w:r>
      <w:r>
        <w:rPr/>
        <w:t>anterior</w:t>
      </w:r>
      <w:r>
        <w:rPr>
          <w:spacing w:val="-4"/>
        </w:rPr>
        <w:t> </w:t>
      </w:r>
      <w:r>
        <w:rPr/>
        <w:t>es</w:t>
      </w:r>
      <w:r>
        <w:rPr>
          <w:spacing w:val="-5"/>
        </w:rPr>
        <w:t> </w:t>
      </w:r>
      <w:r>
        <w:rPr/>
        <w:t>cuanto</w:t>
      </w:r>
      <w:r>
        <w:rPr>
          <w:spacing w:val="-4"/>
        </w:rPr>
        <w:t> </w:t>
      </w:r>
      <w:r>
        <w:rPr/>
        <w:t>puedo</w:t>
      </w:r>
      <w:r>
        <w:rPr>
          <w:spacing w:val="-4"/>
        </w:rPr>
        <w:t> </w:t>
      </w:r>
      <w:r>
        <w:rPr>
          <w:spacing w:val="-2"/>
        </w:rPr>
        <w:t>informar.</w:t>
      </w:r>
    </w:p>
    <w:p>
      <w:pPr>
        <w:pStyle w:val="BodyText"/>
        <w:spacing w:before="9"/>
        <w:ind w:left="420" w:right="6021"/>
        <w:jc w:val="center"/>
      </w:pPr>
      <w:r>
        <w:rPr/>
        <w:t>Sin</w:t>
      </w:r>
      <w:r>
        <w:rPr>
          <w:spacing w:val="-5"/>
        </w:rPr>
        <w:t> </w:t>
      </w:r>
      <w:r>
        <w:rPr/>
        <w:t>otro</w:t>
      </w:r>
      <w:r>
        <w:rPr>
          <w:spacing w:val="-5"/>
        </w:rPr>
        <w:t> </w:t>
      </w:r>
      <w:r>
        <w:rPr/>
        <w:t>particular,</w:t>
      </w:r>
      <w:r>
        <w:rPr>
          <w:spacing w:val="-5"/>
        </w:rPr>
        <w:t> </w:t>
      </w:r>
      <w:r>
        <w:rPr/>
        <w:t>se</w:t>
      </w:r>
      <w:r>
        <w:rPr>
          <w:spacing w:val="-5"/>
        </w:rPr>
        <w:t> </w:t>
      </w:r>
      <w:r>
        <w:rPr/>
        <w:t>despide</w:t>
      </w:r>
      <w:r>
        <w:rPr>
          <w:spacing w:val="-4"/>
        </w:rPr>
        <w:t> </w:t>
      </w:r>
      <w:r>
        <w:rPr>
          <w:spacing w:val="-2"/>
        </w:rPr>
        <w:t>cordialmente,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w:rPr>
          <w:sz w:val="20"/>
        </w:rPr>
        <w:drawing>
          <wp:anchor distT="0" distB="0" distL="0" distR="0" allowOverlap="1" layoutInCell="1" locked="0" behindDoc="1" simplePos="0" relativeHeight="487588352">
            <wp:simplePos x="0" y="0"/>
            <wp:positionH relativeFrom="page">
              <wp:posOffset>3212625</wp:posOffset>
            </wp:positionH>
            <wp:positionV relativeFrom="paragraph">
              <wp:posOffset>253269</wp:posOffset>
            </wp:positionV>
            <wp:extent cx="1114425" cy="111442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114425" cy="1114425"/>
                    </a:xfrm>
                    <a:prstGeom prst="rect">
                      <a:avLst/>
                    </a:prstGeom>
                  </pic:spPr>
                </pic:pic>
              </a:graphicData>
            </a:graphic>
          </wp:anchor>
        </w:drawing>
      </w:r>
    </w:p>
    <w:p>
      <w:pPr>
        <w:spacing w:before="179"/>
        <w:ind w:left="420" w:right="10" w:firstLine="0"/>
        <w:jc w:val="center"/>
        <w:rPr>
          <w:b/>
          <w:sz w:val="19"/>
        </w:rPr>
      </w:pPr>
      <w:r>
        <w:rPr>
          <w:b/>
          <w:sz w:val="19"/>
        </w:rPr>
        <w:t>CLAUDIO</w:t>
      </w:r>
      <w:r>
        <w:rPr>
          <w:b/>
          <w:spacing w:val="3"/>
          <w:sz w:val="19"/>
        </w:rPr>
        <w:t> </w:t>
      </w:r>
      <w:r>
        <w:rPr>
          <w:b/>
          <w:sz w:val="19"/>
        </w:rPr>
        <w:t>ALFONSO</w:t>
      </w:r>
      <w:r>
        <w:rPr>
          <w:b/>
          <w:spacing w:val="3"/>
          <w:sz w:val="19"/>
        </w:rPr>
        <w:t> </w:t>
      </w:r>
      <w:r>
        <w:rPr>
          <w:b/>
          <w:sz w:val="19"/>
        </w:rPr>
        <w:t>CASTILLO</w:t>
      </w:r>
      <w:r>
        <w:rPr>
          <w:b/>
          <w:spacing w:val="4"/>
          <w:sz w:val="19"/>
        </w:rPr>
        <w:t> </w:t>
      </w:r>
      <w:r>
        <w:rPr>
          <w:b/>
          <w:spacing w:val="-2"/>
          <w:sz w:val="19"/>
        </w:rPr>
        <w:t>CASTILLO</w:t>
      </w:r>
    </w:p>
    <w:p>
      <w:pPr>
        <w:spacing w:before="10"/>
        <w:ind w:left="420" w:right="0" w:firstLine="0"/>
        <w:jc w:val="center"/>
        <w:rPr>
          <w:sz w:val="19"/>
        </w:rPr>
      </w:pPr>
      <w:r>
        <w:rPr>
          <w:sz w:val="19"/>
        </w:rPr>
        <w:t>Director</w:t>
      </w:r>
      <w:r>
        <w:rPr>
          <w:spacing w:val="6"/>
          <w:sz w:val="19"/>
        </w:rPr>
        <w:t> </w:t>
      </w:r>
      <w:r>
        <w:rPr>
          <w:spacing w:val="-2"/>
          <w:sz w:val="19"/>
        </w:rPr>
        <w:t>Nacional</w:t>
      </w:r>
    </w:p>
    <w:p>
      <w:pPr>
        <w:pStyle w:val="BodyText"/>
        <w:rPr>
          <w:sz w:val="19"/>
        </w:rPr>
      </w:pPr>
    </w:p>
    <w:p>
      <w:pPr>
        <w:pStyle w:val="BodyText"/>
        <w:spacing w:before="52"/>
        <w:rPr>
          <w:sz w:val="19"/>
        </w:rPr>
      </w:pPr>
    </w:p>
    <w:p>
      <w:pPr>
        <w:spacing w:before="0"/>
        <w:ind w:left="474" w:right="0" w:firstLine="0"/>
        <w:jc w:val="left"/>
        <w:rPr>
          <w:sz w:val="19"/>
        </w:rPr>
      </w:pPr>
      <w:r>
        <w:rPr>
          <w:spacing w:val="-2"/>
          <w:sz w:val="19"/>
        </w:rPr>
        <w:t>MCB/FVD/MMC/DYS/DSP</w:t>
      </w:r>
    </w:p>
    <w:p>
      <w:pPr>
        <w:pStyle w:val="BodyText"/>
        <w:spacing w:before="31"/>
        <w:rPr>
          <w:sz w:val="19"/>
        </w:rPr>
      </w:pPr>
    </w:p>
    <w:p>
      <w:pPr>
        <w:spacing w:before="1"/>
        <w:ind w:left="474" w:right="0" w:firstLine="0"/>
        <w:jc w:val="left"/>
        <w:rPr>
          <w:b/>
          <w:sz w:val="19"/>
        </w:rPr>
      </w:pPr>
      <w:r>
        <w:rPr>
          <w:b/>
          <w:spacing w:val="-2"/>
          <w:sz w:val="19"/>
        </w:rPr>
        <w:t>C.C.:</w:t>
      </w:r>
    </w:p>
    <w:p>
      <w:pPr>
        <w:pStyle w:val="ListParagraph"/>
        <w:numPr>
          <w:ilvl w:val="0"/>
          <w:numId w:val="1"/>
        </w:numPr>
        <w:tabs>
          <w:tab w:pos="953" w:val="left" w:leader="none"/>
        </w:tabs>
        <w:spacing w:line="240" w:lineRule="auto" w:before="201" w:after="0"/>
        <w:ind w:left="953" w:right="0" w:hanging="263"/>
        <w:jc w:val="left"/>
        <w:rPr>
          <w:sz w:val="19"/>
        </w:rPr>
      </w:pPr>
      <w:r>
        <w:rPr>
          <w:spacing w:val="-2"/>
          <w:sz w:val="19"/>
        </w:rPr>
        <w:t>FISCALÍA</w:t>
      </w:r>
    </w:p>
    <w:p>
      <w:pPr>
        <w:pStyle w:val="ListParagraph"/>
        <w:numPr>
          <w:ilvl w:val="0"/>
          <w:numId w:val="1"/>
        </w:numPr>
        <w:tabs>
          <w:tab w:pos="953" w:val="left" w:leader="none"/>
        </w:tabs>
        <w:spacing w:line="240" w:lineRule="auto" w:before="10" w:after="0"/>
        <w:ind w:left="953" w:right="0" w:hanging="263"/>
        <w:jc w:val="left"/>
        <w:rPr>
          <w:sz w:val="19"/>
        </w:rPr>
      </w:pPr>
      <w:r>
        <w:rPr>
          <w:sz w:val="19"/>
        </w:rPr>
        <w:t>UNIDAD</w:t>
      </w:r>
      <w:r>
        <w:rPr>
          <w:spacing w:val="3"/>
          <w:sz w:val="19"/>
        </w:rPr>
        <w:t> </w:t>
      </w:r>
      <w:r>
        <w:rPr>
          <w:sz w:val="19"/>
        </w:rPr>
        <w:t>DE</w:t>
      </w:r>
      <w:r>
        <w:rPr>
          <w:spacing w:val="3"/>
          <w:sz w:val="19"/>
        </w:rPr>
        <w:t> </w:t>
      </w:r>
      <w:r>
        <w:rPr>
          <w:sz w:val="19"/>
        </w:rPr>
        <w:t>COORDINACION</w:t>
      </w:r>
      <w:r>
        <w:rPr>
          <w:spacing w:val="3"/>
          <w:sz w:val="19"/>
        </w:rPr>
        <w:t> </w:t>
      </w:r>
      <w:r>
        <w:rPr>
          <w:spacing w:val="-2"/>
          <w:sz w:val="19"/>
        </w:rPr>
        <w:t>INTERSECTORIAL</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48"/>
        <w:rPr>
          <w:sz w:val="14"/>
        </w:rPr>
      </w:pPr>
    </w:p>
    <w:p>
      <w:pPr>
        <w:spacing w:line="249" w:lineRule="auto" w:before="0"/>
        <w:ind w:left="1374" w:right="0" w:firstLine="0"/>
        <w:jc w:val="left"/>
        <w:rPr>
          <w:sz w:val="14"/>
        </w:rPr>
      </w:pPr>
      <w:r>
        <w:rPr>
          <w:sz w:val="14"/>
        </w:rPr>
        <w:drawing>
          <wp:anchor distT="0" distB="0" distL="0" distR="0" allowOverlap="1" layoutInCell="1" locked="0" behindDoc="0" simplePos="0" relativeHeight="15729664">
            <wp:simplePos x="0" y="0"/>
            <wp:positionH relativeFrom="page">
              <wp:posOffset>461037</wp:posOffset>
            </wp:positionH>
            <wp:positionV relativeFrom="paragraph">
              <wp:posOffset>-46126</wp:posOffset>
            </wp:positionV>
            <wp:extent cx="754590" cy="75459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754590" cy="754590"/>
                    </a:xfrm>
                    <a:prstGeom prst="rect">
                      <a:avLst/>
                    </a:prstGeom>
                  </pic:spPr>
                </pic:pic>
              </a:graphicData>
            </a:graphic>
          </wp:anchor>
        </w:drawing>
      </w:r>
      <w:r>
        <w:rPr>
          <w:sz w:val="14"/>
        </w:rPr>
        <w:t>Documento firmado con Firma Electrónica Avanzada, el documento original disponible en:</w:t>
      </w:r>
      <w:r>
        <w:rPr>
          <w:spacing w:val="40"/>
          <w:sz w:val="14"/>
        </w:rPr>
        <w:t> </w:t>
      </w:r>
      <w:r>
        <w:rPr>
          <w:spacing w:val="-2"/>
          <w:sz w:val="14"/>
        </w:rPr>
        <w:t>https://ceropapel.servicioproteccion.gob.cl/validar/?key=21341156&amp;hash=0b05c</w:t>
      </w:r>
    </w:p>
    <w:sectPr>
      <w:pgSz w:w="11900" w:h="16840"/>
      <w:pgMar w:header="0" w:footer="285" w:top="280" w:bottom="480" w:left="708"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9472">
              <wp:simplePos x="0" y="0"/>
              <wp:positionH relativeFrom="page">
                <wp:posOffset>422926</wp:posOffset>
              </wp:positionH>
              <wp:positionV relativeFrom="page">
                <wp:posOffset>10334625</wp:posOffset>
              </wp:positionV>
              <wp:extent cx="6707505" cy="152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07505" cy="15240"/>
                        <a:chExt cx="6707505" cy="15240"/>
                      </a:xfrm>
                    </wpg:grpSpPr>
                    <wps:wsp>
                      <wps:cNvPr id="2" name="Graphic 2"/>
                      <wps:cNvSpPr/>
                      <wps:spPr>
                        <a:xfrm>
                          <a:off x="0" y="0"/>
                          <a:ext cx="6707505" cy="7620"/>
                        </a:xfrm>
                        <a:custGeom>
                          <a:avLst/>
                          <a:gdLst/>
                          <a:ahLst/>
                          <a:cxnLst/>
                          <a:rect l="l" t="t" r="r" b="b"/>
                          <a:pathLst>
                            <a:path w="6707505" h="7620">
                              <a:moveTo>
                                <a:pt x="6699848" y="7622"/>
                              </a:moveTo>
                              <a:lnTo>
                                <a:pt x="0" y="7622"/>
                              </a:lnTo>
                              <a:lnTo>
                                <a:pt x="0" y="0"/>
                              </a:lnTo>
                              <a:lnTo>
                                <a:pt x="6707471" y="0"/>
                              </a:lnTo>
                              <a:lnTo>
                                <a:pt x="6699848" y="7622"/>
                              </a:lnTo>
                              <a:close/>
                            </a:path>
                          </a:pathLst>
                        </a:custGeom>
                        <a:solidFill>
                          <a:srgbClr val="999999"/>
                        </a:solidFill>
                      </wps:spPr>
                      <wps:bodyPr wrap="square" lIns="0" tIns="0" rIns="0" bIns="0" rtlCol="0">
                        <a:prstTxWarp prst="textNoShape">
                          <a:avLst/>
                        </a:prstTxWarp>
                        <a:noAutofit/>
                      </wps:bodyPr>
                    </wps:wsp>
                    <wps:wsp>
                      <wps:cNvPr id="3" name="Graphic 3"/>
                      <wps:cNvSpPr/>
                      <wps:spPr>
                        <a:xfrm>
                          <a:off x="0" y="7622"/>
                          <a:ext cx="6707505" cy="7620"/>
                        </a:xfrm>
                        <a:custGeom>
                          <a:avLst/>
                          <a:gdLst/>
                          <a:ahLst/>
                          <a:cxnLst/>
                          <a:rect l="l" t="t" r="r" b="b"/>
                          <a:pathLst>
                            <a:path w="6707505" h="7620">
                              <a:moveTo>
                                <a:pt x="6707471" y="7622"/>
                              </a:moveTo>
                              <a:lnTo>
                                <a:pt x="0" y="7622"/>
                              </a:lnTo>
                              <a:lnTo>
                                <a:pt x="7622" y="0"/>
                              </a:lnTo>
                              <a:lnTo>
                                <a:pt x="6707471" y="0"/>
                              </a:lnTo>
                              <a:lnTo>
                                <a:pt x="6707471" y="7622"/>
                              </a:lnTo>
                              <a:close/>
                            </a:path>
                          </a:pathLst>
                        </a:custGeom>
                        <a:solidFill>
                          <a:srgbClr val="EDEDED"/>
                        </a:solidFill>
                      </wps:spPr>
                      <wps:bodyPr wrap="square" lIns="0" tIns="0" rIns="0" bIns="0" rtlCol="0">
                        <a:prstTxWarp prst="textNoShape">
                          <a:avLst/>
                        </a:prstTxWarp>
                        <a:noAutofit/>
                      </wps:bodyPr>
                    </wps:wsp>
                    <wps:wsp>
                      <wps:cNvPr id="4" name="Graphic 4"/>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6699849"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3.301338pt;margin-top:813.75pt;width:528.15pt;height:1.2pt;mso-position-horizontal-relative:page;mso-position-vertical-relative:page;z-index:-15787008" id="docshapegroup1" coordorigin="666,16275" coordsize="10563,24">
              <v:shape style="position:absolute;left:666;top:16275;width:10563;height:12" id="docshape2" coordorigin="666,16275" coordsize="10563,12" path="m11217,16287l666,16287,666,16275,11229,16275,11217,16287xe" filled="true" fillcolor="#999999" stroked="false">
                <v:path arrowok="t"/>
                <v:fill type="solid"/>
              </v:shape>
              <v:shape style="position:absolute;left:666;top:16287;width:10563;height:12" id="docshape3" coordorigin="666,16287" coordsize="10563,12" path="m11229,16299l666,16299,678,16287,11229,16287,11229,16299xe" filled="true" fillcolor="#ededed" stroked="false">
                <v:path arrowok="t"/>
                <v:fill type="solid"/>
              </v:shape>
              <v:shape style="position:absolute;left:666;top:16275;width:12;height:24" id="docshape4" coordorigin="666,16275" coordsize="12,24" path="m666,16299l666,16275,678,16275,678,16287,666,16299xe" filled="true" fillcolor="#999999" stroked="false">
                <v:path arrowok="t"/>
                <v:fill type="solid"/>
              </v:shape>
              <v:shape style="position:absolute;left:11216;top:16275;width:12;height:24" id="docshape5" coordorigin="11217,16275" coordsize="12,24" path="m11229,16299l11217,16299,11217,16287,11229,16275,11229,16299xe" filled="true" fillcolor="#ededed"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529984">
              <wp:simplePos x="0" y="0"/>
              <wp:positionH relativeFrom="page">
                <wp:posOffset>5303632</wp:posOffset>
              </wp:positionH>
              <wp:positionV relativeFrom="page">
                <wp:posOffset>10394510</wp:posOffset>
              </wp:positionV>
              <wp:extent cx="1843405" cy="1250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43405" cy="125095"/>
                      </a:xfrm>
                      <a:prstGeom prst="rect">
                        <a:avLst/>
                      </a:prstGeom>
                    </wps:spPr>
                    <wps:txbx>
                      <w:txbxContent>
                        <w:p>
                          <w:pPr>
                            <w:spacing w:line="166" w:lineRule="exact" w:before="0"/>
                            <w:ind w:left="20" w:right="0" w:firstLine="0"/>
                            <w:jc w:val="left"/>
                            <w:rPr>
                              <w:b/>
                              <w:sz w:val="15"/>
                            </w:rPr>
                          </w:pPr>
                          <w:r>
                            <w:rPr>
                              <w:b/>
                              <w:spacing w:val="-2"/>
                              <w:w w:val="105"/>
                              <w:sz w:val="15"/>
                            </w:rPr>
                            <w:t>Oficio</w:t>
                          </w:r>
                          <w:r>
                            <w:rPr>
                              <w:b/>
                              <w:spacing w:val="1"/>
                              <w:w w:val="105"/>
                              <w:sz w:val="15"/>
                            </w:rPr>
                            <w:t> </w:t>
                          </w:r>
                          <w:r>
                            <w:rPr>
                              <w:b/>
                              <w:spacing w:val="-2"/>
                              <w:w w:val="105"/>
                              <w:sz w:val="15"/>
                            </w:rPr>
                            <w:t>Ordinario</w:t>
                          </w:r>
                          <w:r>
                            <w:rPr>
                              <w:b/>
                              <w:spacing w:val="1"/>
                              <w:w w:val="105"/>
                              <w:sz w:val="15"/>
                            </w:rPr>
                            <w:t> </w:t>
                          </w:r>
                          <w:r>
                            <w:rPr>
                              <w:b/>
                              <w:spacing w:val="-2"/>
                              <w:w w:val="105"/>
                              <w:sz w:val="15"/>
                            </w:rPr>
                            <w:t>N°</w:t>
                          </w:r>
                          <w:r>
                            <w:rPr>
                              <w:b/>
                              <w:spacing w:val="2"/>
                              <w:w w:val="105"/>
                              <w:sz w:val="15"/>
                            </w:rPr>
                            <w:t> </w:t>
                          </w:r>
                          <w:r>
                            <w:rPr>
                              <w:b/>
                              <w:spacing w:val="-2"/>
                              <w:w w:val="105"/>
                              <w:sz w:val="15"/>
                            </w:rPr>
                            <w:t>00348/2025</w:t>
                          </w:r>
                          <w:r>
                            <w:rPr>
                              <w:b/>
                              <w:spacing w:val="4"/>
                              <w:w w:val="105"/>
                              <w:sz w:val="15"/>
                            </w:rPr>
                            <w:t> </w:t>
                          </w:r>
                          <w:r>
                            <w:rPr>
                              <w:b/>
                              <w:spacing w:val="-2"/>
                              <w:w w:val="105"/>
                              <w:sz w:val="15"/>
                            </w:rPr>
                            <w:t>Pág.</w:t>
                          </w:r>
                          <w:r>
                            <w:rPr>
                              <w:b/>
                              <w:spacing w:val="-2"/>
                              <w:w w:val="105"/>
                              <w:sz w:val="15"/>
                            </w:rPr>
                            <w:fldChar w:fldCharType="begin"/>
                          </w:r>
                          <w:r>
                            <w:rPr>
                              <w:b/>
                              <w:spacing w:val="-2"/>
                              <w:w w:val="105"/>
                              <w:sz w:val="15"/>
                            </w:rPr>
                            <w:instrText> PAGE </w:instrText>
                          </w:r>
                          <w:r>
                            <w:rPr>
                              <w:b/>
                              <w:spacing w:val="-2"/>
                              <w:w w:val="105"/>
                              <w:sz w:val="15"/>
                            </w:rPr>
                            <w:fldChar w:fldCharType="separate"/>
                          </w:r>
                          <w:r>
                            <w:rPr>
                              <w:b/>
                              <w:spacing w:val="-2"/>
                              <w:w w:val="105"/>
                              <w:sz w:val="15"/>
                            </w:rPr>
                            <w:t>1</w:t>
                          </w:r>
                          <w:r>
                            <w:rPr>
                              <w:b/>
                              <w:spacing w:val="-2"/>
                              <w:w w:val="105"/>
                              <w:sz w:val="15"/>
                            </w:rPr>
                            <w:fldChar w:fldCharType="end"/>
                          </w:r>
                          <w:r>
                            <w:rPr>
                              <w:b/>
                              <w:spacing w:val="-2"/>
                              <w:w w:val="105"/>
                              <w:sz w:val="15"/>
                            </w:rPr>
                            <w:t>/</w:t>
                          </w:r>
                          <w:r>
                            <w:rPr>
                              <w:b/>
                              <w:spacing w:val="-2"/>
                              <w:w w:val="105"/>
                              <w:sz w:val="15"/>
                            </w:rPr>
                            <w:fldChar w:fldCharType="begin"/>
                          </w:r>
                          <w:r>
                            <w:rPr>
                              <w:b/>
                              <w:spacing w:val="-2"/>
                              <w:w w:val="105"/>
                              <w:sz w:val="15"/>
                            </w:rPr>
                            <w:instrText> NUMPAGES </w:instrText>
                          </w:r>
                          <w:r>
                            <w:rPr>
                              <w:b/>
                              <w:spacing w:val="-2"/>
                              <w:w w:val="105"/>
                              <w:sz w:val="15"/>
                            </w:rPr>
                            <w:fldChar w:fldCharType="separate"/>
                          </w:r>
                          <w:r>
                            <w:rPr>
                              <w:b/>
                              <w:spacing w:val="-2"/>
                              <w:w w:val="105"/>
                              <w:sz w:val="15"/>
                            </w:rPr>
                            <w:t>3</w:t>
                          </w:r>
                          <w:r>
                            <w:rPr>
                              <w:b/>
                              <w:spacing w:val="-2"/>
                              <w:w w:val="105"/>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7.608826pt;margin-top:818.465393pt;width:145.15pt;height:9.85pt;mso-position-horizontal-relative:page;mso-position-vertical-relative:page;z-index:-15786496" type="#_x0000_t202" id="docshape6" filled="false" stroked="false">
              <v:textbox inset="0,0,0,0">
                <w:txbxContent>
                  <w:p>
                    <w:pPr>
                      <w:spacing w:line="166" w:lineRule="exact" w:before="0"/>
                      <w:ind w:left="20" w:right="0" w:firstLine="0"/>
                      <w:jc w:val="left"/>
                      <w:rPr>
                        <w:b/>
                        <w:sz w:val="15"/>
                      </w:rPr>
                    </w:pPr>
                    <w:r>
                      <w:rPr>
                        <w:b/>
                        <w:spacing w:val="-2"/>
                        <w:w w:val="105"/>
                        <w:sz w:val="15"/>
                      </w:rPr>
                      <w:t>Oficio</w:t>
                    </w:r>
                    <w:r>
                      <w:rPr>
                        <w:b/>
                        <w:spacing w:val="1"/>
                        <w:w w:val="105"/>
                        <w:sz w:val="15"/>
                      </w:rPr>
                      <w:t> </w:t>
                    </w:r>
                    <w:r>
                      <w:rPr>
                        <w:b/>
                        <w:spacing w:val="-2"/>
                        <w:w w:val="105"/>
                        <w:sz w:val="15"/>
                      </w:rPr>
                      <w:t>Ordinario</w:t>
                    </w:r>
                    <w:r>
                      <w:rPr>
                        <w:b/>
                        <w:spacing w:val="1"/>
                        <w:w w:val="105"/>
                        <w:sz w:val="15"/>
                      </w:rPr>
                      <w:t> </w:t>
                    </w:r>
                    <w:r>
                      <w:rPr>
                        <w:b/>
                        <w:spacing w:val="-2"/>
                        <w:w w:val="105"/>
                        <w:sz w:val="15"/>
                      </w:rPr>
                      <w:t>N°</w:t>
                    </w:r>
                    <w:r>
                      <w:rPr>
                        <w:b/>
                        <w:spacing w:val="2"/>
                        <w:w w:val="105"/>
                        <w:sz w:val="15"/>
                      </w:rPr>
                      <w:t> </w:t>
                    </w:r>
                    <w:r>
                      <w:rPr>
                        <w:b/>
                        <w:spacing w:val="-2"/>
                        <w:w w:val="105"/>
                        <w:sz w:val="15"/>
                      </w:rPr>
                      <w:t>00348/2025</w:t>
                    </w:r>
                    <w:r>
                      <w:rPr>
                        <w:b/>
                        <w:spacing w:val="4"/>
                        <w:w w:val="105"/>
                        <w:sz w:val="15"/>
                      </w:rPr>
                      <w:t> </w:t>
                    </w:r>
                    <w:r>
                      <w:rPr>
                        <w:b/>
                        <w:spacing w:val="-2"/>
                        <w:w w:val="105"/>
                        <w:sz w:val="15"/>
                      </w:rPr>
                      <w:t>Pág.</w:t>
                    </w:r>
                    <w:r>
                      <w:rPr>
                        <w:b/>
                        <w:spacing w:val="-2"/>
                        <w:w w:val="105"/>
                        <w:sz w:val="15"/>
                      </w:rPr>
                      <w:fldChar w:fldCharType="begin"/>
                    </w:r>
                    <w:r>
                      <w:rPr>
                        <w:b/>
                        <w:spacing w:val="-2"/>
                        <w:w w:val="105"/>
                        <w:sz w:val="15"/>
                      </w:rPr>
                      <w:instrText> PAGE </w:instrText>
                    </w:r>
                    <w:r>
                      <w:rPr>
                        <w:b/>
                        <w:spacing w:val="-2"/>
                        <w:w w:val="105"/>
                        <w:sz w:val="15"/>
                      </w:rPr>
                      <w:fldChar w:fldCharType="separate"/>
                    </w:r>
                    <w:r>
                      <w:rPr>
                        <w:b/>
                        <w:spacing w:val="-2"/>
                        <w:w w:val="105"/>
                        <w:sz w:val="15"/>
                      </w:rPr>
                      <w:t>1</w:t>
                    </w:r>
                    <w:r>
                      <w:rPr>
                        <w:b/>
                        <w:spacing w:val="-2"/>
                        <w:w w:val="105"/>
                        <w:sz w:val="15"/>
                      </w:rPr>
                      <w:fldChar w:fldCharType="end"/>
                    </w:r>
                    <w:r>
                      <w:rPr>
                        <w:b/>
                        <w:spacing w:val="-2"/>
                        <w:w w:val="105"/>
                        <w:sz w:val="15"/>
                      </w:rPr>
                      <w:t>/</w:t>
                    </w:r>
                    <w:r>
                      <w:rPr>
                        <w:b/>
                        <w:spacing w:val="-2"/>
                        <w:w w:val="105"/>
                        <w:sz w:val="15"/>
                      </w:rPr>
                      <w:fldChar w:fldCharType="begin"/>
                    </w:r>
                    <w:r>
                      <w:rPr>
                        <w:b/>
                        <w:spacing w:val="-2"/>
                        <w:w w:val="105"/>
                        <w:sz w:val="15"/>
                      </w:rPr>
                      <w:instrText> NUMPAGES </w:instrText>
                    </w:r>
                    <w:r>
                      <w:rPr>
                        <w:b/>
                        <w:spacing w:val="-2"/>
                        <w:w w:val="105"/>
                        <w:sz w:val="15"/>
                      </w:rPr>
                      <w:fldChar w:fldCharType="separate"/>
                    </w:r>
                    <w:r>
                      <w:rPr>
                        <w:b/>
                        <w:spacing w:val="-2"/>
                        <w:w w:val="105"/>
                        <w:sz w:val="15"/>
                      </w:rPr>
                      <w:t>3</w:t>
                    </w:r>
                    <w:r>
                      <w:rPr>
                        <w:b/>
                        <w:spacing w:val="-2"/>
                        <w:w w:val="105"/>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54" w:hanging="265"/>
        <w:jc w:val="left"/>
      </w:pPr>
      <w:rPr>
        <w:rFonts w:hint="default" w:ascii="Arial" w:hAnsi="Arial" w:eastAsia="Arial" w:cs="Arial"/>
        <w:b w:val="0"/>
        <w:bCs w:val="0"/>
        <w:i w:val="0"/>
        <w:iCs w:val="0"/>
        <w:spacing w:val="0"/>
        <w:w w:val="101"/>
        <w:sz w:val="19"/>
        <w:szCs w:val="19"/>
        <w:lang w:val="es-ES" w:eastAsia="en-US" w:bidi="ar-SA"/>
      </w:rPr>
    </w:lvl>
    <w:lvl w:ilvl="1">
      <w:start w:val="0"/>
      <w:numFmt w:val="bullet"/>
      <w:lvlText w:val="•"/>
      <w:lvlJc w:val="left"/>
      <w:pPr>
        <w:ind w:left="1869" w:hanging="265"/>
      </w:pPr>
      <w:rPr>
        <w:rFonts w:hint="default"/>
        <w:lang w:val="es-ES" w:eastAsia="en-US" w:bidi="ar-SA"/>
      </w:rPr>
    </w:lvl>
    <w:lvl w:ilvl="2">
      <w:start w:val="0"/>
      <w:numFmt w:val="bullet"/>
      <w:lvlText w:val="•"/>
      <w:lvlJc w:val="left"/>
      <w:pPr>
        <w:ind w:left="2779" w:hanging="265"/>
      </w:pPr>
      <w:rPr>
        <w:rFonts w:hint="default"/>
        <w:lang w:val="es-ES" w:eastAsia="en-US" w:bidi="ar-SA"/>
      </w:rPr>
    </w:lvl>
    <w:lvl w:ilvl="3">
      <w:start w:val="0"/>
      <w:numFmt w:val="bullet"/>
      <w:lvlText w:val="•"/>
      <w:lvlJc w:val="left"/>
      <w:pPr>
        <w:ind w:left="3689" w:hanging="265"/>
      </w:pPr>
      <w:rPr>
        <w:rFonts w:hint="default"/>
        <w:lang w:val="es-ES" w:eastAsia="en-US" w:bidi="ar-SA"/>
      </w:rPr>
    </w:lvl>
    <w:lvl w:ilvl="4">
      <w:start w:val="0"/>
      <w:numFmt w:val="bullet"/>
      <w:lvlText w:val="•"/>
      <w:lvlJc w:val="left"/>
      <w:pPr>
        <w:ind w:left="4599" w:hanging="265"/>
      </w:pPr>
      <w:rPr>
        <w:rFonts w:hint="default"/>
        <w:lang w:val="es-ES" w:eastAsia="en-US" w:bidi="ar-SA"/>
      </w:rPr>
    </w:lvl>
    <w:lvl w:ilvl="5">
      <w:start w:val="0"/>
      <w:numFmt w:val="bullet"/>
      <w:lvlText w:val="•"/>
      <w:lvlJc w:val="left"/>
      <w:pPr>
        <w:ind w:left="5509" w:hanging="265"/>
      </w:pPr>
      <w:rPr>
        <w:rFonts w:hint="default"/>
        <w:lang w:val="es-ES" w:eastAsia="en-US" w:bidi="ar-SA"/>
      </w:rPr>
    </w:lvl>
    <w:lvl w:ilvl="6">
      <w:start w:val="0"/>
      <w:numFmt w:val="bullet"/>
      <w:lvlText w:val="•"/>
      <w:lvlJc w:val="left"/>
      <w:pPr>
        <w:ind w:left="6419" w:hanging="265"/>
      </w:pPr>
      <w:rPr>
        <w:rFonts w:hint="default"/>
        <w:lang w:val="es-ES" w:eastAsia="en-US" w:bidi="ar-SA"/>
      </w:rPr>
    </w:lvl>
    <w:lvl w:ilvl="7">
      <w:start w:val="0"/>
      <w:numFmt w:val="bullet"/>
      <w:lvlText w:val="•"/>
      <w:lvlJc w:val="left"/>
      <w:pPr>
        <w:ind w:left="7329" w:hanging="265"/>
      </w:pPr>
      <w:rPr>
        <w:rFonts w:hint="default"/>
        <w:lang w:val="es-ES" w:eastAsia="en-US" w:bidi="ar-SA"/>
      </w:rPr>
    </w:lvl>
    <w:lvl w:ilvl="8">
      <w:start w:val="0"/>
      <w:numFmt w:val="bullet"/>
      <w:lvlText w:val="•"/>
      <w:lvlJc w:val="left"/>
      <w:pPr>
        <w:ind w:left="8239" w:hanging="265"/>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Title" w:type="paragraph">
    <w:name w:val="Title"/>
    <w:basedOn w:val="Normal"/>
    <w:uiPriority w:val="1"/>
    <w:qFormat/>
    <w:pPr>
      <w:ind w:left="5239"/>
      <w:jc w:val="both"/>
    </w:pPr>
    <w:rPr>
      <w:rFonts w:ascii="Arial" w:hAnsi="Arial" w:eastAsia="Arial" w:cs="Arial"/>
      <w:b/>
      <w:bCs/>
      <w:sz w:val="20"/>
      <w:szCs w:val="20"/>
      <w:u w:val="single" w:color="000000"/>
      <w:lang w:val="es-ES" w:eastAsia="en-US" w:bidi="ar-SA"/>
    </w:rPr>
  </w:style>
  <w:style w:styleId="ListParagraph" w:type="paragraph">
    <w:name w:val="List Paragraph"/>
    <w:basedOn w:val="Normal"/>
    <w:uiPriority w:val="1"/>
    <w:qFormat/>
    <w:pPr>
      <w:spacing w:before="10"/>
      <w:ind w:left="953" w:hanging="263"/>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2025-05-06T19:50:39Z</dcterms:created>
  <dcterms:modified xsi:type="dcterms:W3CDTF">2025-05-06T19:50:39Z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wkhtmltopdf 0.12.6.1</vt:lpwstr>
  </property>
  <property fmtid="{D5CDD505-2E9C-101B-9397-08002B2CF9AE}" pid="4" name="LastSaved">
    <vt:filetime>2025-05-06T00:00:00Z</vt:filetime>
  </property>
  <property fmtid="{D5CDD505-2E9C-101B-9397-08002B2CF9AE}" pid="5" name="Producer">
    <vt:lpwstr>兴‴⸸⸷㬠浯摩晩敤⁵獩湧⁩呥硴′⸱⸷⁢礠ㅔ㍘吀</vt:lpwstr>
  </property>
</Properties>
</file>