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2DC93" w14:textId="4BFDBAFA" w:rsidR="00FE17F7" w:rsidRPr="00483804" w:rsidRDefault="00FE17F7" w:rsidP="00D75875">
      <w:pPr>
        <w:pStyle w:val="NormalWeb"/>
        <w:spacing w:before="0" w:beforeAutospacing="0" w:after="0" w:afterAutospacing="0" w:line="262" w:lineRule="auto"/>
        <w:jc w:val="both"/>
        <w:rPr>
          <w:rFonts w:asciiTheme="minorHAnsi" w:hAnsiTheme="minorHAnsi" w:cs="Arial"/>
          <w:b/>
          <w:bCs/>
        </w:rPr>
      </w:pPr>
      <w:r w:rsidRPr="00483804">
        <w:rPr>
          <w:rFonts w:asciiTheme="minorHAnsi" w:hAnsiTheme="minorHAnsi" w:cs="Arial"/>
          <w:b/>
          <w:bCs/>
        </w:rPr>
        <w:t xml:space="preserve">Minuta sobre </w:t>
      </w:r>
      <w:r w:rsidR="00E664FB">
        <w:rPr>
          <w:rFonts w:asciiTheme="minorHAnsi" w:hAnsiTheme="minorHAnsi" w:cs="Arial"/>
          <w:b/>
          <w:bCs/>
        </w:rPr>
        <w:t>propuesta de modificación</w:t>
      </w:r>
      <w:r w:rsidR="00FE7424">
        <w:rPr>
          <w:rFonts w:asciiTheme="minorHAnsi" w:hAnsiTheme="minorHAnsi" w:cs="Arial"/>
          <w:b/>
          <w:bCs/>
        </w:rPr>
        <w:t xml:space="preserve"> de la Ley 21.302 del Servicio de Protección Especializada </w:t>
      </w:r>
      <w:r w:rsidR="00C618D2">
        <w:rPr>
          <w:rFonts w:asciiTheme="minorHAnsi" w:hAnsiTheme="minorHAnsi" w:cs="Arial"/>
          <w:b/>
          <w:bCs/>
        </w:rPr>
        <w:t xml:space="preserve">para asegurar </w:t>
      </w:r>
      <w:r w:rsidR="002C4391">
        <w:rPr>
          <w:rFonts w:asciiTheme="minorHAnsi" w:hAnsiTheme="minorHAnsi" w:cs="Arial"/>
          <w:b/>
          <w:bCs/>
        </w:rPr>
        <w:t xml:space="preserve">a </w:t>
      </w:r>
      <w:r w:rsidR="00131FB8">
        <w:rPr>
          <w:rFonts w:asciiTheme="minorHAnsi" w:hAnsiTheme="minorHAnsi" w:cs="Arial"/>
          <w:b/>
          <w:bCs/>
        </w:rPr>
        <w:t>“todo</w:t>
      </w:r>
      <w:r w:rsidR="002C4391">
        <w:rPr>
          <w:rFonts w:asciiTheme="minorHAnsi" w:hAnsiTheme="minorHAnsi" w:cs="Arial"/>
          <w:b/>
          <w:bCs/>
        </w:rPr>
        <w:t xml:space="preserve"> evento” </w:t>
      </w:r>
      <w:r w:rsidR="00131FB8">
        <w:rPr>
          <w:rFonts w:asciiTheme="minorHAnsi" w:hAnsiTheme="minorHAnsi" w:cs="Arial"/>
          <w:b/>
          <w:bCs/>
        </w:rPr>
        <w:t xml:space="preserve">acompañamiento a la </w:t>
      </w:r>
      <w:r w:rsidR="00131FB8" w:rsidRPr="00483804">
        <w:rPr>
          <w:rFonts w:asciiTheme="minorHAnsi" w:hAnsiTheme="minorHAnsi" w:cs="Arial"/>
          <w:b/>
          <w:bCs/>
        </w:rPr>
        <w:t>vida</w:t>
      </w:r>
      <w:r w:rsidRPr="00483804">
        <w:rPr>
          <w:rFonts w:asciiTheme="minorHAnsi" w:hAnsiTheme="minorHAnsi" w:cs="Arial"/>
          <w:b/>
          <w:bCs/>
        </w:rPr>
        <w:t xml:space="preserve"> independiente de jóvenes en residencias de protección </w:t>
      </w:r>
    </w:p>
    <w:p w14:paraId="4C3F2BC5" w14:textId="77777777" w:rsidR="00770913" w:rsidRPr="008F3DE4" w:rsidRDefault="00770913" w:rsidP="00D75875">
      <w:pPr>
        <w:spacing w:after="0" w:line="262" w:lineRule="auto"/>
        <w:rPr>
          <w:sz w:val="22"/>
          <w:szCs w:val="22"/>
          <w:lang w:val="es-MX"/>
        </w:rPr>
      </w:pPr>
    </w:p>
    <w:p w14:paraId="1BD27E79" w14:textId="0799E718" w:rsidR="00AB15F2" w:rsidRPr="008F3DE4" w:rsidRDefault="00AB15F2" w:rsidP="00D75875">
      <w:pPr>
        <w:pStyle w:val="NormalWeb"/>
        <w:spacing w:before="0" w:beforeAutospacing="0" w:after="0" w:afterAutospacing="0" w:line="262" w:lineRule="auto"/>
        <w:jc w:val="both"/>
        <w:rPr>
          <w:rFonts w:asciiTheme="minorHAnsi" w:hAnsiTheme="minorHAnsi" w:cs="Arial"/>
          <w:sz w:val="22"/>
          <w:szCs w:val="22"/>
        </w:rPr>
      </w:pPr>
      <w:r w:rsidRPr="008F3DE4">
        <w:rPr>
          <w:rFonts w:asciiTheme="minorHAnsi" w:hAnsiTheme="minorHAnsi" w:cs="Arial"/>
          <w:sz w:val="22"/>
          <w:szCs w:val="22"/>
        </w:rPr>
        <w:t>La Ley del Servicio y su decreto 7 (junio, 2022</w:t>
      </w:r>
      <w:r w:rsidRPr="008F3DE4">
        <w:rPr>
          <w:rStyle w:val="Refdenotaalpie"/>
          <w:rFonts w:asciiTheme="minorHAnsi" w:hAnsiTheme="minorHAnsi" w:cs="Arial"/>
          <w:sz w:val="22"/>
          <w:szCs w:val="22"/>
        </w:rPr>
        <w:footnoteReference w:id="1"/>
      </w:r>
      <w:r w:rsidRPr="008F3DE4">
        <w:rPr>
          <w:rFonts w:asciiTheme="minorHAnsi" w:hAnsiTheme="minorHAnsi" w:cs="Arial"/>
          <w:sz w:val="22"/>
          <w:szCs w:val="22"/>
        </w:rPr>
        <w:t xml:space="preserve">) establece que en la oferta del Servicio se considere un </w:t>
      </w:r>
      <w:r w:rsidRPr="008F3DE4">
        <w:rPr>
          <w:rFonts w:asciiTheme="minorHAnsi" w:hAnsiTheme="minorHAnsi" w:cs="Arial"/>
          <w:b/>
          <w:bCs/>
          <w:i/>
          <w:iCs/>
          <w:sz w:val="22"/>
          <w:szCs w:val="22"/>
        </w:rPr>
        <w:t>programa complementario de preparación y acompañamiento</w:t>
      </w:r>
      <w:r w:rsidRPr="008F3DE4">
        <w:rPr>
          <w:rFonts w:asciiTheme="minorHAnsi" w:hAnsiTheme="minorHAnsi" w:cs="Arial"/>
          <w:sz w:val="22"/>
          <w:szCs w:val="22"/>
        </w:rPr>
        <w:t xml:space="preserve"> para la vida independiente para las residencias que atienden adolescentes y un </w:t>
      </w:r>
      <w:r w:rsidRPr="008F3DE4">
        <w:rPr>
          <w:rFonts w:asciiTheme="minorHAnsi" w:hAnsiTheme="minorHAnsi" w:cs="Arial"/>
          <w:b/>
          <w:bCs/>
          <w:i/>
          <w:iCs/>
          <w:sz w:val="22"/>
          <w:szCs w:val="22"/>
        </w:rPr>
        <w:t>programa de residencias de vida independiente</w:t>
      </w:r>
      <w:r w:rsidR="00131FB8">
        <w:rPr>
          <w:rFonts w:asciiTheme="minorHAnsi" w:hAnsiTheme="minorHAnsi" w:cs="Arial"/>
          <w:sz w:val="22"/>
          <w:szCs w:val="22"/>
        </w:rPr>
        <w:t xml:space="preserve"> para aquellos</w:t>
      </w:r>
      <w:r w:rsidR="00DB0BED">
        <w:rPr>
          <w:rFonts w:asciiTheme="minorHAnsi" w:hAnsiTheme="minorHAnsi" w:cs="Arial"/>
          <w:sz w:val="22"/>
          <w:szCs w:val="22"/>
        </w:rPr>
        <w:t xml:space="preserve"> que continúan estudios</w:t>
      </w:r>
      <w:r w:rsidR="006A10BE">
        <w:rPr>
          <w:rFonts w:asciiTheme="minorHAnsi" w:hAnsiTheme="minorHAnsi" w:cs="Arial"/>
          <w:sz w:val="22"/>
          <w:szCs w:val="22"/>
        </w:rPr>
        <w:t>.</w:t>
      </w:r>
    </w:p>
    <w:p w14:paraId="059C805E" w14:textId="77777777" w:rsidR="00F32931" w:rsidRDefault="00F32931" w:rsidP="00F32931">
      <w:pPr>
        <w:pStyle w:val="NormalWeb"/>
        <w:spacing w:before="0" w:beforeAutospacing="0" w:after="0" w:afterAutospacing="0" w:line="276" w:lineRule="auto"/>
        <w:jc w:val="both"/>
        <w:rPr>
          <w:rFonts w:asciiTheme="minorHAnsi" w:hAnsiTheme="minorHAnsi" w:cs="Arial"/>
          <w:b/>
          <w:bCs/>
          <w:color w:val="000000"/>
          <w:sz w:val="22"/>
          <w:szCs w:val="22"/>
        </w:rPr>
      </w:pPr>
    </w:p>
    <w:p w14:paraId="09C552E8" w14:textId="4D5D0BDA" w:rsidR="008F3DE4" w:rsidRPr="00E864F1" w:rsidRDefault="008F3DE4" w:rsidP="00F32931">
      <w:pPr>
        <w:pStyle w:val="NormalWeb"/>
        <w:spacing w:before="0" w:beforeAutospacing="0" w:after="0" w:afterAutospacing="0" w:line="276" w:lineRule="auto"/>
        <w:jc w:val="both"/>
        <w:rPr>
          <w:rFonts w:asciiTheme="minorHAnsi" w:hAnsiTheme="minorHAnsi" w:cs="Arial"/>
          <w:b/>
          <w:bCs/>
          <w:color w:val="000000"/>
          <w:sz w:val="22"/>
          <w:szCs w:val="22"/>
        </w:rPr>
      </w:pPr>
      <w:r w:rsidRPr="00E864F1">
        <w:rPr>
          <w:rFonts w:asciiTheme="minorHAnsi" w:hAnsiTheme="minorHAnsi" w:cs="Arial"/>
          <w:b/>
          <w:bCs/>
          <w:color w:val="000000"/>
          <w:sz w:val="22"/>
          <w:szCs w:val="22"/>
        </w:rPr>
        <w:t xml:space="preserve">Vacío en la Ley del Servicio </w:t>
      </w:r>
    </w:p>
    <w:p w14:paraId="720A5622" w14:textId="77777777" w:rsidR="008F3DE4" w:rsidRDefault="008F3DE4" w:rsidP="008F3DE4">
      <w:pPr>
        <w:pStyle w:val="NormalWeb"/>
        <w:spacing w:before="0" w:beforeAutospacing="0" w:after="0" w:afterAutospacing="0" w:line="276" w:lineRule="auto"/>
        <w:ind w:left="-142"/>
        <w:jc w:val="both"/>
        <w:rPr>
          <w:rFonts w:asciiTheme="minorHAnsi" w:hAnsiTheme="minorHAnsi" w:cs="Arial"/>
          <w:color w:val="000000"/>
        </w:rPr>
      </w:pPr>
      <w:r>
        <w:rPr>
          <w:rFonts w:asciiTheme="minorHAnsi" w:hAnsiTheme="minorHAnsi" w:cs="Arial"/>
          <w:noProof/>
          <w:color w:val="000000"/>
        </w:rPr>
        <w:drawing>
          <wp:inline distT="0" distB="0" distL="0" distR="0" wp14:anchorId="5FC10B48" wp14:editId="44CE36BB">
            <wp:extent cx="5974080" cy="1701800"/>
            <wp:effectExtent l="0" t="0" r="7620" b="0"/>
            <wp:docPr id="3187412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920" b="8664"/>
                    <a:stretch/>
                  </pic:blipFill>
                  <pic:spPr bwMode="auto">
                    <a:xfrm>
                      <a:off x="0" y="0"/>
                      <a:ext cx="5999183" cy="1708951"/>
                    </a:xfrm>
                    <a:prstGeom prst="rect">
                      <a:avLst/>
                    </a:prstGeom>
                    <a:noFill/>
                    <a:ln>
                      <a:noFill/>
                    </a:ln>
                    <a:extLst>
                      <a:ext uri="{53640926-AAD7-44D8-BBD7-CCE9431645EC}">
                        <a14:shadowObscured xmlns:a14="http://schemas.microsoft.com/office/drawing/2010/main"/>
                      </a:ext>
                    </a:extLst>
                  </pic:spPr>
                </pic:pic>
              </a:graphicData>
            </a:graphic>
          </wp:inline>
        </w:drawing>
      </w:r>
    </w:p>
    <w:p w14:paraId="23904306" w14:textId="77777777" w:rsidR="00C33A2E" w:rsidRDefault="00C33A2E" w:rsidP="00C33A2E">
      <w:pPr>
        <w:pStyle w:val="NormalWeb"/>
        <w:spacing w:before="0" w:beforeAutospacing="0" w:after="0" w:afterAutospacing="0" w:line="276" w:lineRule="auto"/>
        <w:jc w:val="both"/>
        <w:rPr>
          <w:rFonts w:asciiTheme="minorHAnsi" w:hAnsiTheme="minorHAnsi" w:cs="Arial"/>
          <w:color w:val="000000"/>
          <w:sz w:val="22"/>
          <w:szCs w:val="22"/>
        </w:rPr>
      </w:pPr>
    </w:p>
    <w:p w14:paraId="57CEFD64" w14:textId="31D2CCCF" w:rsidR="00B461A4" w:rsidRDefault="008F3DE4" w:rsidP="00172EE1">
      <w:pPr>
        <w:pStyle w:val="NormalWeb"/>
        <w:spacing w:before="0" w:beforeAutospacing="0" w:after="0" w:afterAutospacing="0" w:line="262" w:lineRule="auto"/>
        <w:jc w:val="both"/>
        <w:rPr>
          <w:rFonts w:asciiTheme="minorHAnsi" w:hAnsiTheme="minorHAnsi" w:cs="Arial"/>
          <w:color w:val="000000"/>
          <w:sz w:val="22"/>
          <w:szCs w:val="22"/>
        </w:rPr>
      </w:pPr>
      <w:r w:rsidRPr="00425D40">
        <w:rPr>
          <w:rFonts w:asciiTheme="minorHAnsi" w:hAnsiTheme="minorHAnsi" w:cs="Arial"/>
          <w:color w:val="000000"/>
          <w:sz w:val="22"/>
          <w:szCs w:val="22"/>
        </w:rPr>
        <w:t xml:space="preserve">Uno de los vacíos de la Ley 21.302 que crea el Servicio es que </w:t>
      </w:r>
      <w:r w:rsidRPr="00C33A2E">
        <w:rPr>
          <w:rFonts w:asciiTheme="minorHAnsi" w:hAnsiTheme="minorHAnsi" w:cs="Arial"/>
          <w:b/>
          <w:bCs/>
          <w:i/>
          <w:iCs/>
          <w:color w:val="000000"/>
          <w:sz w:val="22"/>
          <w:szCs w:val="22"/>
        </w:rPr>
        <w:t>no está</w:t>
      </w:r>
      <w:r w:rsidR="006A69D6">
        <w:rPr>
          <w:rFonts w:asciiTheme="minorHAnsi" w:hAnsiTheme="minorHAnsi" w:cs="Arial"/>
          <w:b/>
          <w:bCs/>
          <w:i/>
          <w:iCs/>
          <w:color w:val="000000"/>
          <w:sz w:val="22"/>
          <w:szCs w:val="22"/>
        </w:rPr>
        <w:t>n</w:t>
      </w:r>
      <w:r w:rsidRPr="00C33A2E">
        <w:rPr>
          <w:rFonts w:asciiTheme="minorHAnsi" w:hAnsiTheme="minorHAnsi" w:cs="Arial"/>
          <w:b/>
          <w:bCs/>
          <w:i/>
          <w:iCs/>
          <w:color w:val="000000"/>
          <w:sz w:val="22"/>
          <w:szCs w:val="22"/>
        </w:rPr>
        <w:t xml:space="preserve"> </w:t>
      </w:r>
      <w:r w:rsidR="006A69D6" w:rsidRPr="00C33A2E">
        <w:rPr>
          <w:rFonts w:asciiTheme="minorHAnsi" w:hAnsiTheme="minorHAnsi" w:cs="Arial"/>
          <w:b/>
          <w:bCs/>
          <w:i/>
          <w:iCs/>
          <w:color w:val="000000"/>
          <w:sz w:val="22"/>
          <w:szCs w:val="22"/>
        </w:rPr>
        <w:t>considerad</w:t>
      </w:r>
      <w:r w:rsidR="006A69D6">
        <w:rPr>
          <w:rFonts w:asciiTheme="minorHAnsi" w:hAnsiTheme="minorHAnsi" w:cs="Arial"/>
          <w:b/>
          <w:bCs/>
          <w:i/>
          <w:iCs/>
          <w:color w:val="000000"/>
          <w:sz w:val="22"/>
          <w:szCs w:val="22"/>
        </w:rPr>
        <w:t>as</w:t>
      </w:r>
      <w:r w:rsidR="006A69D6" w:rsidRPr="00C33A2E">
        <w:rPr>
          <w:rFonts w:asciiTheme="minorHAnsi" w:hAnsiTheme="minorHAnsi" w:cs="Arial"/>
          <w:b/>
          <w:bCs/>
          <w:i/>
          <w:iCs/>
          <w:color w:val="000000"/>
          <w:sz w:val="22"/>
          <w:szCs w:val="22"/>
        </w:rPr>
        <w:t xml:space="preserve"> </w:t>
      </w:r>
      <w:r w:rsidRPr="00C33A2E">
        <w:rPr>
          <w:rFonts w:asciiTheme="minorHAnsi" w:hAnsiTheme="minorHAnsi" w:cs="Arial"/>
          <w:b/>
          <w:bCs/>
          <w:i/>
          <w:iCs/>
          <w:color w:val="000000"/>
          <w:sz w:val="22"/>
          <w:szCs w:val="22"/>
        </w:rPr>
        <w:t xml:space="preserve">acciones de </w:t>
      </w:r>
      <w:r w:rsidR="006A69D6">
        <w:rPr>
          <w:rFonts w:asciiTheme="minorHAnsi" w:hAnsiTheme="minorHAnsi" w:cs="Arial"/>
          <w:b/>
          <w:bCs/>
          <w:i/>
          <w:iCs/>
          <w:color w:val="000000"/>
          <w:sz w:val="22"/>
          <w:szCs w:val="22"/>
        </w:rPr>
        <w:t xml:space="preserve">apoyo y </w:t>
      </w:r>
      <w:r w:rsidRPr="00C33A2E">
        <w:rPr>
          <w:rFonts w:asciiTheme="minorHAnsi" w:hAnsiTheme="minorHAnsi" w:cs="Arial"/>
          <w:b/>
          <w:bCs/>
          <w:i/>
          <w:iCs/>
          <w:color w:val="000000"/>
          <w:sz w:val="22"/>
          <w:szCs w:val="22"/>
        </w:rPr>
        <w:t xml:space="preserve">acompañamiento al proceso de transición a la vida independiente </w:t>
      </w:r>
      <w:r w:rsidR="006A69D6">
        <w:rPr>
          <w:rFonts w:asciiTheme="minorHAnsi" w:hAnsiTheme="minorHAnsi" w:cs="Arial"/>
          <w:b/>
          <w:bCs/>
          <w:i/>
          <w:iCs/>
          <w:color w:val="000000"/>
          <w:sz w:val="22"/>
          <w:szCs w:val="22"/>
        </w:rPr>
        <w:t>para</w:t>
      </w:r>
      <w:r w:rsidRPr="00C33A2E">
        <w:rPr>
          <w:rFonts w:asciiTheme="minorHAnsi" w:hAnsiTheme="minorHAnsi" w:cs="Arial"/>
          <w:b/>
          <w:bCs/>
          <w:i/>
          <w:iCs/>
          <w:color w:val="000000"/>
          <w:sz w:val="22"/>
          <w:szCs w:val="22"/>
        </w:rPr>
        <w:t xml:space="preserve"> aquellos jóvenes </w:t>
      </w:r>
      <w:r w:rsidR="006A69D6">
        <w:rPr>
          <w:rFonts w:asciiTheme="minorHAnsi" w:hAnsiTheme="minorHAnsi" w:cs="Arial"/>
          <w:b/>
          <w:bCs/>
          <w:i/>
          <w:iCs/>
          <w:color w:val="000000"/>
          <w:sz w:val="22"/>
          <w:szCs w:val="22"/>
        </w:rPr>
        <w:t xml:space="preserve">mayores de 18 años </w:t>
      </w:r>
      <w:r w:rsidRPr="00C33A2E">
        <w:rPr>
          <w:rFonts w:asciiTheme="minorHAnsi" w:hAnsiTheme="minorHAnsi" w:cs="Arial"/>
          <w:b/>
          <w:bCs/>
          <w:i/>
          <w:iCs/>
          <w:color w:val="000000"/>
          <w:sz w:val="22"/>
          <w:szCs w:val="22"/>
        </w:rPr>
        <w:t>que no estudian y que aspiran, más bien, ingresar al mercado laboral</w:t>
      </w:r>
      <w:r w:rsidR="006672AC">
        <w:rPr>
          <w:rFonts w:asciiTheme="minorHAnsi" w:hAnsiTheme="minorHAnsi" w:cs="Arial"/>
          <w:color w:val="000000"/>
          <w:sz w:val="22"/>
          <w:szCs w:val="22"/>
        </w:rPr>
        <w:t xml:space="preserve"> y desarrollar su autonomía económica.</w:t>
      </w:r>
    </w:p>
    <w:p w14:paraId="1B52F3E8" w14:textId="77777777" w:rsidR="00B461A4" w:rsidRDefault="00B461A4" w:rsidP="00172EE1">
      <w:pPr>
        <w:pStyle w:val="NormalWeb"/>
        <w:spacing w:before="0" w:beforeAutospacing="0" w:after="0" w:afterAutospacing="0" w:line="262" w:lineRule="auto"/>
        <w:jc w:val="both"/>
        <w:rPr>
          <w:rFonts w:asciiTheme="minorHAnsi" w:hAnsiTheme="minorHAnsi" w:cs="Arial"/>
          <w:color w:val="000000"/>
          <w:sz w:val="22"/>
          <w:szCs w:val="22"/>
        </w:rPr>
      </w:pPr>
    </w:p>
    <w:p w14:paraId="61705B9F" w14:textId="48CC9417" w:rsidR="00B461A4" w:rsidRPr="00141C4D" w:rsidRDefault="008F3DE4" w:rsidP="00172EE1">
      <w:pPr>
        <w:pStyle w:val="NormalWeb"/>
        <w:spacing w:before="0" w:beforeAutospacing="0" w:after="0" w:afterAutospacing="0" w:line="262" w:lineRule="auto"/>
        <w:jc w:val="both"/>
        <w:rPr>
          <w:rFonts w:asciiTheme="minorHAnsi" w:hAnsiTheme="minorHAnsi" w:cs="Arial"/>
          <w:b/>
          <w:bCs/>
          <w:i/>
          <w:iCs/>
          <w:color w:val="000000"/>
          <w:sz w:val="22"/>
          <w:szCs w:val="22"/>
        </w:rPr>
      </w:pPr>
      <w:r w:rsidRPr="00425D40">
        <w:rPr>
          <w:rFonts w:asciiTheme="minorHAnsi" w:hAnsiTheme="minorHAnsi" w:cs="Arial"/>
          <w:color w:val="000000"/>
          <w:sz w:val="22"/>
          <w:szCs w:val="22"/>
        </w:rPr>
        <w:t xml:space="preserve">Por tanto, consideramos </w:t>
      </w:r>
      <w:r w:rsidR="0012711B">
        <w:rPr>
          <w:rFonts w:asciiTheme="minorHAnsi" w:hAnsiTheme="minorHAnsi" w:cs="Arial"/>
          <w:color w:val="000000"/>
          <w:sz w:val="22"/>
          <w:szCs w:val="22"/>
        </w:rPr>
        <w:t>imprescindible</w:t>
      </w:r>
      <w:r w:rsidRPr="00425D40">
        <w:rPr>
          <w:rFonts w:asciiTheme="minorHAnsi" w:hAnsiTheme="minorHAnsi" w:cs="Arial"/>
          <w:color w:val="000000"/>
          <w:sz w:val="22"/>
          <w:szCs w:val="22"/>
        </w:rPr>
        <w:t xml:space="preserve"> </w:t>
      </w:r>
      <w:r w:rsidR="002C76C9">
        <w:rPr>
          <w:rFonts w:asciiTheme="minorHAnsi" w:hAnsiTheme="minorHAnsi" w:cs="Arial"/>
          <w:color w:val="000000"/>
          <w:sz w:val="22"/>
          <w:szCs w:val="22"/>
        </w:rPr>
        <w:t>que en el marco legal y normativo establezca que l</w:t>
      </w:r>
      <w:r w:rsidRPr="00425D40">
        <w:rPr>
          <w:rFonts w:asciiTheme="minorHAnsi" w:hAnsiTheme="minorHAnsi" w:cs="Arial"/>
          <w:color w:val="000000"/>
          <w:sz w:val="22"/>
          <w:szCs w:val="22"/>
        </w:rPr>
        <w:t xml:space="preserve">o que prime sea su condición de estar </w:t>
      </w:r>
      <w:r w:rsidR="00B461A4">
        <w:rPr>
          <w:rFonts w:asciiTheme="minorHAnsi" w:hAnsiTheme="minorHAnsi" w:cs="Arial"/>
          <w:color w:val="000000"/>
          <w:sz w:val="22"/>
          <w:szCs w:val="22"/>
        </w:rPr>
        <w:t xml:space="preserve">egresando de </w:t>
      </w:r>
      <w:r w:rsidRPr="00425D40">
        <w:rPr>
          <w:rFonts w:asciiTheme="minorHAnsi" w:hAnsiTheme="minorHAnsi" w:cs="Arial"/>
          <w:color w:val="000000"/>
          <w:sz w:val="22"/>
          <w:szCs w:val="22"/>
        </w:rPr>
        <w:t>una residencia de protección</w:t>
      </w:r>
      <w:r>
        <w:rPr>
          <w:rFonts w:asciiTheme="minorHAnsi" w:hAnsiTheme="minorHAnsi" w:cs="Arial"/>
          <w:color w:val="000000"/>
          <w:sz w:val="22"/>
          <w:szCs w:val="22"/>
        </w:rPr>
        <w:t>, y que no cuenta</w:t>
      </w:r>
      <w:r w:rsidR="00B461A4">
        <w:rPr>
          <w:rFonts w:asciiTheme="minorHAnsi" w:hAnsiTheme="minorHAnsi" w:cs="Arial"/>
          <w:color w:val="000000"/>
          <w:sz w:val="22"/>
          <w:szCs w:val="22"/>
        </w:rPr>
        <w:t>n</w:t>
      </w:r>
      <w:r>
        <w:rPr>
          <w:rFonts w:asciiTheme="minorHAnsi" w:hAnsiTheme="minorHAnsi" w:cs="Arial"/>
          <w:color w:val="000000"/>
          <w:sz w:val="22"/>
          <w:szCs w:val="22"/>
        </w:rPr>
        <w:t xml:space="preserve"> con redes familiares, toda vez que no fue posible su revinculación a su familia o a una familia</w:t>
      </w:r>
      <w:r w:rsidRPr="00425D40">
        <w:rPr>
          <w:rFonts w:asciiTheme="minorHAnsi" w:hAnsiTheme="minorHAnsi" w:cs="Arial"/>
          <w:color w:val="000000"/>
          <w:sz w:val="22"/>
          <w:szCs w:val="22"/>
        </w:rPr>
        <w:t xml:space="preserve">. </w:t>
      </w:r>
      <w:r w:rsidR="00176183" w:rsidRPr="00141C4D">
        <w:rPr>
          <w:rFonts w:asciiTheme="minorHAnsi" w:hAnsiTheme="minorHAnsi" w:cs="Arial"/>
          <w:b/>
          <w:bCs/>
          <w:i/>
          <w:iCs/>
          <w:color w:val="000000"/>
          <w:sz w:val="22"/>
          <w:szCs w:val="22"/>
        </w:rPr>
        <w:t>Es decir, que continue con acompañamiento y apoyo</w:t>
      </w:r>
      <w:r w:rsidR="00BF4110" w:rsidRPr="00141C4D">
        <w:rPr>
          <w:rFonts w:asciiTheme="minorHAnsi" w:hAnsiTheme="minorHAnsi" w:cs="Arial"/>
          <w:b/>
          <w:bCs/>
          <w:i/>
          <w:iCs/>
          <w:color w:val="000000"/>
          <w:sz w:val="22"/>
          <w:szCs w:val="22"/>
        </w:rPr>
        <w:t xml:space="preserve"> </w:t>
      </w:r>
      <w:r w:rsidR="00C555C1">
        <w:rPr>
          <w:rFonts w:asciiTheme="minorHAnsi" w:hAnsiTheme="minorHAnsi" w:cs="Arial"/>
          <w:b/>
          <w:bCs/>
          <w:i/>
          <w:iCs/>
          <w:color w:val="000000"/>
          <w:sz w:val="22"/>
          <w:szCs w:val="22"/>
        </w:rPr>
        <w:t xml:space="preserve">sin </w:t>
      </w:r>
      <w:r w:rsidR="00A2260F">
        <w:rPr>
          <w:rFonts w:asciiTheme="minorHAnsi" w:hAnsiTheme="minorHAnsi" w:cs="Arial"/>
          <w:b/>
          <w:bCs/>
          <w:i/>
          <w:iCs/>
          <w:color w:val="000000"/>
          <w:sz w:val="22"/>
          <w:szCs w:val="22"/>
        </w:rPr>
        <w:t xml:space="preserve">exclusiones, que le permita transitar hacia la vida independiente </w:t>
      </w:r>
      <w:r w:rsidR="00351AE6">
        <w:rPr>
          <w:rFonts w:asciiTheme="minorHAnsi" w:hAnsiTheme="minorHAnsi" w:cs="Arial"/>
          <w:b/>
          <w:bCs/>
          <w:i/>
          <w:iCs/>
          <w:color w:val="000000"/>
          <w:sz w:val="22"/>
          <w:szCs w:val="22"/>
        </w:rPr>
        <w:t>y autonomía económica</w:t>
      </w:r>
      <w:r w:rsidR="00C555C1">
        <w:rPr>
          <w:rFonts w:asciiTheme="minorHAnsi" w:hAnsiTheme="minorHAnsi" w:cs="Arial"/>
          <w:b/>
          <w:bCs/>
          <w:i/>
          <w:iCs/>
          <w:color w:val="000000"/>
          <w:sz w:val="22"/>
          <w:szCs w:val="22"/>
        </w:rPr>
        <w:t xml:space="preserve">. </w:t>
      </w:r>
    </w:p>
    <w:p w14:paraId="1F999E2E" w14:textId="77777777" w:rsidR="00B461A4" w:rsidRDefault="00B461A4" w:rsidP="00172EE1">
      <w:pPr>
        <w:pStyle w:val="NormalWeb"/>
        <w:spacing w:before="0" w:beforeAutospacing="0" w:after="0" w:afterAutospacing="0" w:line="262" w:lineRule="auto"/>
        <w:jc w:val="both"/>
        <w:rPr>
          <w:rFonts w:asciiTheme="minorHAnsi" w:hAnsiTheme="minorHAnsi" w:cs="Arial"/>
          <w:color w:val="000000"/>
          <w:sz w:val="22"/>
          <w:szCs w:val="22"/>
        </w:rPr>
      </w:pPr>
    </w:p>
    <w:p w14:paraId="4AE9C5C4" w14:textId="11CF6C14" w:rsidR="0012711B" w:rsidRDefault="00A36E39" w:rsidP="00172EE1">
      <w:pPr>
        <w:spacing w:after="0" w:line="262" w:lineRule="auto"/>
        <w:jc w:val="both"/>
        <w:rPr>
          <w:sz w:val="22"/>
          <w:szCs w:val="22"/>
        </w:rPr>
      </w:pPr>
      <w:r>
        <w:rPr>
          <w:sz w:val="22"/>
          <w:szCs w:val="22"/>
        </w:rPr>
        <w:t xml:space="preserve">En este marco, la </w:t>
      </w:r>
      <w:r w:rsidR="0012711B" w:rsidRPr="00FE17F7">
        <w:rPr>
          <w:sz w:val="22"/>
          <w:szCs w:val="22"/>
        </w:rPr>
        <w:t>Red de Organizaciones de Egresados</w:t>
      </w:r>
      <w:r w:rsidR="0012711B" w:rsidRPr="008F3DE4">
        <w:rPr>
          <w:rStyle w:val="Refdenotaalpie"/>
          <w:rFonts w:cs="Arial"/>
          <w:sz w:val="20"/>
          <w:szCs w:val="20"/>
        </w:rPr>
        <w:footnoteReference w:id="2"/>
      </w:r>
      <w:r w:rsidR="0012711B" w:rsidRPr="00FE17F7">
        <w:rPr>
          <w:sz w:val="22"/>
          <w:szCs w:val="22"/>
        </w:rPr>
        <w:t xml:space="preserve"> presentan una propuesta de modificación a 2 artículos de la ley 21.302, </w:t>
      </w:r>
      <w:r w:rsidRPr="00B22ED6">
        <w:rPr>
          <w:rFonts w:cs="Arial"/>
          <w:b/>
          <w:bCs/>
          <w:i/>
          <w:iCs/>
          <w:color w:val="000000"/>
          <w:sz w:val="22"/>
          <w:szCs w:val="22"/>
        </w:rPr>
        <w:t xml:space="preserve">que en el </w:t>
      </w:r>
      <w:r w:rsidR="00351AE6">
        <w:rPr>
          <w:rFonts w:cs="Arial"/>
          <w:b/>
          <w:bCs/>
          <w:i/>
          <w:iCs/>
          <w:color w:val="000000"/>
          <w:sz w:val="22"/>
          <w:szCs w:val="22"/>
        </w:rPr>
        <w:t xml:space="preserve">contexto de la discusión </w:t>
      </w:r>
      <w:r w:rsidRPr="00B22ED6">
        <w:rPr>
          <w:rFonts w:cs="Arial"/>
          <w:b/>
          <w:bCs/>
          <w:i/>
          <w:iCs/>
          <w:color w:val="000000"/>
          <w:sz w:val="22"/>
          <w:szCs w:val="22"/>
        </w:rPr>
        <w:t>de la ley de armonización</w:t>
      </w:r>
      <w:r w:rsidRPr="00425D40">
        <w:rPr>
          <w:rFonts w:cs="Arial"/>
          <w:color w:val="000000"/>
          <w:sz w:val="22"/>
          <w:szCs w:val="22"/>
        </w:rPr>
        <w:t>,</w:t>
      </w:r>
      <w:r>
        <w:rPr>
          <w:rFonts w:cs="Arial"/>
          <w:color w:val="000000"/>
          <w:sz w:val="22"/>
          <w:szCs w:val="22"/>
        </w:rPr>
        <w:t xml:space="preserve"> </w:t>
      </w:r>
      <w:r w:rsidR="0012711B" w:rsidRPr="00FE17F7">
        <w:rPr>
          <w:sz w:val="22"/>
          <w:szCs w:val="22"/>
        </w:rPr>
        <w:t>que permita asegurar que todos las y los jóvenes que han cumplido los 18 años independiente de su situación de estudios puedan continuar contando con el apoyo y acompañamiento del Estado, a través de los programas establecidos para estos efectos.</w:t>
      </w:r>
    </w:p>
    <w:p w14:paraId="040191AF" w14:textId="77777777" w:rsidR="00172EE1" w:rsidRDefault="00172EE1" w:rsidP="00172EE1">
      <w:pPr>
        <w:spacing w:after="0" w:line="262" w:lineRule="auto"/>
        <w:jc w:val="both"/>
        <w:rPr>
          <w:sz w:val="22"/>
          <w:szCs w:val="22"/>
        </w:rPr>
      </w:pPr>
    </w:p>
    <w:p w14:paraId="39A34DAD" w14:textId="77777777" w:rsidR="00172EE1" w:rsidRDefault="00172EE1" w:rsidP="00172EE1">
      <w:pPr>
        <w:spacing w:after="0" w:line="262" w:lineRule="auto"/>
        <w:jc w:val="both"/>
        <w:rPr>
          <w:sz w:val="22"/>
          <w:szCs w:val="22"/>
        </w:rPr>
      </w:pPr>
    </w:p>
    <w:p w14:paraId="79CF015A" w14:textId="77777777" w:rsidR="00172EE1" w:rsidRPr="00FE17F7" w:rsidRDefault="00172EE1" w:rsidP="00172EE1">
      <w:pPr>
        <w:spacing w:after="0" w:line="262" w:lineRule="auto"/>
        <w:jc w:val="both"/>
        <w:rPr>
          <w:sz w:val="22"/>
          <w:szCs w:val="22"/>
        </w:rPr>
      </w:pPr>
    </w:p>
    <w:p w14:paraId="4D19A1BA" w14:textId="77777777" w:rsidR="009472B7" w:rsidRPr="00F32931" w:rsidRDefault="009472B7" w:rsidP="00E664FB">
      <w:pPr>
        <w:spacing w:after="0" w:line="276" w:lineRule="auto"/>
        <w:jc w:val="both"/>
        <w:rPr>
          <w:rFonts w:cs="Arial"/>
          <w:b/>
          <w:bCs/>
        </w:rPr>
      </w:pPr>
      <w:r w:rsidRPr="00F32931">
        <w:rPr>
          <w:rFonts w:cs="Arial"/>
          <w:b/>
          <w:bCs/>
        </w:rPr>
        <w:lastRenderedPageBreak/>
        <w:t xml:space="preserve">Propuestas de modificaciones legales </w:t>
      </w:r>
    </w:p>
    <w:p w14:paraId="11E1F133" w14:textId="77777777" w:rsidR="009472B7" w:rsidRPr="00E664FB" w:rsidRDefault="009472B7" w:rsidP="00E664FB">
      <w:pPr>
        <w:spacing w:after="0" w:line="276" w:lineRule="auto"/>
        <w:jc w:val="both"/>
        <w:rPr>
          <w:rFonts w:cs="Arial"/>
          <w:b/>
          <w:bCs/>
          <w:sz w:val="22"/>
          <w:szCs w:val="22"/>
          <w:u w:val="single"/>
        </w:rPr>
      </w:pPr>
    </w:p>
    <w:p w14:paraId="7FA607D7" w14:textId="77777777" w:rsidR="00A402F8" w:rsidRDefault="009472B7" w:rsidP="00E664FB">
      <w:pPr>
        <w:spacing w:after="0" w:line="276" w:lineRule="auto"/>
        <w:jc w:val="both"/>
        <w:rPr>
          <w:rFonts w:cs="Arial"/>
          <w:sz w:val="22"/>
          <w:szCs w:val="22"/>
        </w:rPr>
      </w:pPr>
      <w:r w:rsidRPr="00E664FB">
        <w:rPr>
          <w:rFonts w:cs="Arial"/>
          <w:b/>
          <w:bCs/>
          <w:sz w:val="22"/>
          <w:szCs w:val="22"/>
        </w:rPr>
        <w:t>Artículo 3.- Sujetos de atención</w:t>
      </w:r>
      <w:r w:rsidRPr="00E664FB">
        <w:rPr>
          <w:rFonts w:cs="Arial"/>
          <w:sz w:val="22"/>
          <w:szCs w:val="22"/>
        </w:rPr>
        <w:t xml:space="preserve">. </w:t>
      </w:r>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4"/>
        <w:gridCol w:w="4484"/>
      </w:tblGrid>
      <w:tr w:rsidR="003D4724" w:rsidRPr="00F32931" w14:paraId="5E4BFACB" w14:textId="77777777" w:rsidTr="00172EE1">
        <w:tc>
          <w:tcPr>
            <w:tcW w:w="2541" w:type="pct"/>
            <w:shd w:val="clear" w:color="auto" w:fill="auto"/>
            <w:tcMar>
              <w:top w:w="15" w:type="dxa"/>
              <w:left w:w="108" w:type="dxa"/>
              <w:bottom w:w="0" w:type="dxa"/>
              <w:right w:w="108" w:type="dxa"/>
            </w:tcMar>
          </w:tcPr>
          <w:p w14:paraId="0BB2D0B9" w14:textId="5F83B17B" w:rsidR="003D4724" w:rsidRPr="00F32931" w:rsidRDefault="003D4724" w:rsidP="003D4724">
            <w:pPr>
              <w:spacing w:after="0" w:line="276" w:lineRule="auto"/>
              <w:jc w:val="both"/>
              <w:rPr>
                <w:rFonts w:cs="Arial"/>
                <w:sz w:val="20"/>
                <w:szCs w:val="20"/>
              </w:rPr>
            </w:pPr>
            <w:r w:rsidRPr="00F32931">
              <w:rPr>
                <w:rFonts w:cs="Arial"/>
                <w:sz w:val="20"/>
                <w:szCs w:val="20"/>
              </w:rPr>
              <w:t>LEY ACTUAL</w:t>
            </w:r>
          </w:p>
        </w:tc>
        <w:tc>
          <w:tcPr>
            <w:tcW w:w="2459" w:type="pct"/>
            <w:shd w:val="clear" w:color="auto" w:fill="auto"/>
            <w:tcMar>
              <w:top w:w="15" w:type="dxa"/>
              <w:left w:w="108" w:type="dxa"/>
              <w:bottom w:w="0" w:type="dxa"/>
              <w:right w:w="108" w:type="dxa"/>
            </w:tcMar>
          </w:tcPr>
          <w:p w14:paraId="65FE0D2A" w14:textId="3B064F91" w:rsidR="003D4724" w:rsidRPr="00F32931" w:rsidRDefault="003D4724" w:rsidP="003D4724">
            <w:pPr>
              <w:spacing w:after="0" w:line="276" w:lineRule="auto"/>
              <w:jc w:val="both"/>
              <w:rPr>
                <w:rFonts w:cs="Arial"/>
                <w:sz w:val="20"/>
                <w:szCs w:val="20"/>
              </w:rPr>
            </w:pPr>
            <w:r w:rsidRPr="00F32931">
              <w:rPr>
                <w:rFonts w:cs="Arial"/>
                <w:sz w:val="20"/>
                <w:szCs w:val="20"/>
              </w:rPr>
              <w:t>PROPUESTA MODIFICACIÓN</w:t>
            </w:r>
          </w:p>
        </w:tc>
      </w:tr>
      <w:tr w:rsidR="003D4724" w:rsidRPr="003D4724" w14:paraId="0049A245" w14:textId="77777777" w:rsidTr="00172EE1">
        <w:tc>
          <w:tcPr>
            <w:tcW w:w="2541" w:type="pct"/>
            <w:shd w:val="clear" w:color="auto" w:fill="auto"/>
            <w:tcMar>
              <w:top w:w="15" w:type="dxa"/>
              <w:left w:w="108" w:type="dxa"/>
              <w:bottom w:w="0" w:type="dxa"/>
              <w:right w:w="108" w:type="dxa"/>
            </w:tcMar>
            <w:hideMark/>
          </w:tcPr>
          <w:p w14:paraId="0FC3ECBC" w14:textId="77777777" w:rsidR="003D4724" w:rsidRDefault="003D4724" w:rsidP="00172EE1">
            <w:pPr>
              <w:spacing w:after="0" w:line="240" w:lineRule="auto"/>
              <w:jc w:val="both"/>
              <w:rPr>
                <w:rFonts w:cs="Arial"/>
                <w:sz w:val="20"/>
                <w:szCs w:val="20"/>
              </w:rPr>
            </w:pPr>
            <w:r w:rsidRPr="003D4724">
              <w:rPr>
                <w:rFonts w:cs="Arial"/>
                <w:sz w:val="20"/>
                <w:szCs w:val="20"/>
              </w:rPr>
              <w:t>Artículo 3.- Sujetos de atención. El Servicio dirigirá su acción a los niños, niñas y adolescentes a que se refiere el artículo 2, incluyendo a sus familias, sean biológicas, adoptivas o de acogida, o a quienes tengan su cuidado, declarado o no judicialmente, en los casos que correspondan. Para efectos de la presente ley, se entenderá por niños y niñas a toda persona menor de catorce años, y por adolescente a toda persona que tenga catorce años o que, siendo mayor de catorce años, no haya cumplido los dieciocho años de edad.</w:t>
            </w:r>
          </w:p>
          <w:p w14:paraId="166220EB" w14:textId="77777777" w:rsidR="003D4724" w:rsidRPr="003D4724" w:rsidRDefault="003D4724" w:rsidP="00172EE1">
            <w:pPr>
              <w:spacing w:after="0" w:line="240" w:lineRule="auto"/>
              <w:jc w:val="both"/>
              <w:rPr>
                <w:rFonts w:cs="Arial"/>
                <w:sz w:val="20"/>
                <w:szCs w:val="20"/>
              </w:rPr>
            </w:pPr>
          </w:p>
          <w:p w14:paraId="6A5DABF4" w14:textId="77777777" w:rsidR="003D4724" w:rsidRPr="003D4724" w:rsidRDefault="003D4724" w:rsidP="00172EE1">
            <w:pPr>
              <w:spacing w:after="0" w:line="240" w:lineRule="auto"/>
              <w:jc w:val="both"/>
              <w:rPr>
                <w:rFonts w:cs="Arial"/>
                <w:sz w:val="20"/>
                <w:szCs w:val="20"/>
              </w:rPr>
            </w:pPr>
            <w:r w:rsidRPr="003D4724">
              <w:rPr>
                <w:rFonts w:cs="Arial"/>
                <w:sz w:val="20"/>
                <w:szCs w:val="20"/>
              </w:rPr>
              <w:t>Sin perjuicio de lo anterior, seguirán siendo sujetos de atención del Servicio quienes tengan dieciocho años o más, siempre que se encuentren bajo cuidado alternativo y cursando estudios. Ellos serán sujetos de atención hasta el 31 de diciembre del año en que cumplan veinticuatro años. El cumplimiento del requisito de estudios se acreditará mediante un certificado emitido por la entidad que desarrolle el curso.</w:t>
            </w:r>
          </w:p>
        </w:tc>
        <w:tc>
          <w:tcPr>
            <w:tcW w:w="2459" w:type="pct"/>
            <w:shd w:val="clear" w:color="auto" w:fill="auto"/>
            <w:tcMar>
              <w:top w:w="15" w:type="dxa"/>
              <w:left w:w="108" w:type="dxa"/>
              <w:bottom w:w="0" w:type="dxa"/>
              <w:right w:w="108" w:type="dxa"/>
            </w:tcMar>
            <w:hideMark/>
          </w:tcPr>
          <w:p w14:paraId="269AB0AB" w14:textId="77777777" w:rsidR="003D4724" w:rsidRDefault="003D4724" w:rsidP="00172EE1">
            <w:pPr>
              <w:spacing w:after="0" w:line="240" w:lineRule="auto"/>
              <w:jc w:val="both"/>
              <w:rPr>
                <w:rFonts w:cs="Arial"/>
                <w:sz w:val="20"/>
                <w:szCs w:val="20"/>
              </w:rPr>
            </w:pPr>
            <w:r w:rsidRPr="003D4724">
              <w:rPr>
                <w:rFonts w:cs="Arial"/>
                <w:sz w:val="20"/>
                <w:szCs w:val="20"/>
              </w:rPr>
              <w:t xml:space="preserve">Artículo 3.- Sujetos de atención. El Servicio dirigirá su acción a los niños, niñas y adolescentes a que se refiere el artículo 2, incluyendo a sus familias, sean biológicas, adoptivas o de acogida, o a quienes tengan su cuidado, declarado o no judicialmente, en los casos que correspondan. Para efectos de la presente ley, se entenderá por niños y niñas a toda persona menor de catorce años, y por adolescente a toda persona que tenga catorce años o que, siendo mayor de catorce años, no haya cumplido los dieciocho años. </w:t>
            </w:r>
          </w:p>
          <w:p w14:paraId="6DBE231A" w14:textId="77777777" w:rsidR="003D4724" w:rsidRDefault="003D4724" w:rsidP="00172EE1">
            <w:pPr>
              <w:spacing w:after="0" w:line="240" w:lineRule="auto"/>
              <w:jc w:val="both"/>
              <w:rPr>
                <w:rFonts w:cs="Arial"/>
                <w:sz w:val="20"/>
                <w:szCs w:val="20"/>
              </w:rPr>
            </w:pPr>
          </w:p>
          <w:p w14:paraId="177861B9" w14:textId="43B9FFD4" w:rsidR="003D4724" w:rsidRPr="003D4724" w:rsidRDefault="003D4724" w:rsidP="00172EE1">
            <w:pPr>
              <w:spacing w:after="0" w:line="240" w:lineRule="auto"/>
              <w:jc w:val="both"/>
              <w:rPr>
                <w:rFonts w:cs="Arial"/>
                <w:sz w:val="20"/>
                <w:szCs w:val="20"/>
              </w:rPr>
            </w:pPr>
            <w:r w:rsidRPr="003D4724">
              <w:rPr>
                <w:rFonts w:cs="Arial"/>
                <w:sz w:val="20"/>
                <w:szCs w:val="20"/>
              </w:rPr>
              <w:t xml:space="preserve">Sin perjuicio de lo anterior, seguirán siendo sujetos de atención del Servicio </w:t>
            </w:r>
            <w:r w:rsidRPr="003D4724">
              <w:rPr>
                <w:rFonts w:cs="Arial"/>
                <w:b/>
                <w:bCs/>
                <w:sz w:val="20"/>
                <w:szCs w:val="20"/>
              </w:rPr>
              <w:t>todos</w:t>
            </w:r>
            <w:r w:rsidRPr="003D4724">
              <w:rPr>
                <w:rFonts w:cs="Arial"/>
                <w:sz w:val="20"/>
                <w:szCs w:val="20"/>
              </w:rPr>
              <w:t xml:space="preserve"> quienes tengan 18 años o más hasta el 31 de diciembre del año que cumplan veinticuatro años, </w:t>
            </w:r>
            <w:r w:rsidR="00141253">
              <w:rPr>
                <w:rFonts w:cs="Arial"/>
                <w:sz w:val="20"/>
                <w:szCs w:val="20"/>
              </w:rPr>
              <w:t xml:space="preserve">y </w:t>
            </w:r>
            <w:r w:rsidRPr="003D4724">
              <w:rPr>
                <w:rFonts w:cs="Arial"/>
                <w:b/>
                <w:bCs/>
                <w:sz w:val="20"/>
                <w:szCs w:val="20"/>
              </w:rPr>
              <w:t xml:space="preserve">que requieran o </w:t>
            </w:r>
            <w:r w:rsidR="003D7AFF">
              <w:rPr>
                <w:rFonts w:cs="Arial"/>
                <w:b/>
                <w:bCs/>
                <w:sz w:val="20"/>
                <w:szCs w:val="20"/>
              </w:rPr>
              <w:t>soliciten voluntariamente</w:t>
            </w:r>
            <w:r w:rsidR="003D7AFF" w:rsidRPr="003D4724">
              <w:rPr>
                <w:rFonts w:cs="Arial"/>
                <w:b/>
                <w:bCs/>
                <w:sz w:val="20"/>
                <w:szCs w:val="20"/>
              </w:rPr>
              <w:t xml:space="preserve"> </w:t>
            </w:r>
            <w:r w:rsidRPr="003D4724">
              <w:rPr>
                <w:rFonts w:cs="Arial"/>
                <w:b/>
                <w:bCs/>
                <w:sz w:val="20"/>
                <w:szCs w:val="20"/>
              </w:rPr>
              <w:t>acompañamiento para su proceso de transición a la vida independiente, ya sea para continuidad de estudios o habilitación para su proceso de independencia económica. El cumplimiento del requerimiento de acompañamiento se acreditará mediante un certificado emitido por el programa donde se encuentr</w:t>
            </w:r>
            <w:r w:rsidR="003D7AFF">
              <w:rPr>
                <w:rFonts w:cs="Arial"/>
                <w:b/>
                <w:bCs/>
                <w:sz w:val="20"/>
                <w:szCs w:val="20"/>
              </w:rPr>
              <w:t>e</w:t>
            </w:r>
            <w:r w:rsidRPr="003D4724">
              <w:rPr>
                <w:rFonts w:cs="Arial"/>
                <w:b/>
                <w:bCs/>
                <w:sz w:val="20"/>
                <w:szCs w:val="20"/>
              </w:rPr>
              <w:t xml:space="preserve"> el joven. </w:t>
            </w:r>
          </w:p>
        </w:tc>
      </w:tr>
    </w:tbl>
    <w:p w14:paraId="33BBDDB6" w14:textId="77777777" w:rsidR="00A402F8" w:rsidRDefault="00A402F8" w:rsidP="00E664FB">
      <w:pPr>
        <w:spacing w:after="0" w:line="276" w:lineRule="auto"/>
        <w:jc w:val="both"/>
        <w:rPr>
          <w:rFonts w:cs="Arial"/>
          <w:sz w:val="22"/>
          <w:szCs w:val="22"/>
        </w:rPr>
      </w:pPr>
    </w:p>
    <w:p w14:paraId="5007F29B" w14:textId="77777777" w:rsidR="003D4724" w:rsidRDefault="009472B7" w:rsidP="009472B7">
      <w:pPr>
        <w:spacing w:after="0" w:line="276" w:lineRule="auto"/>
        <w:jc w:val="both"/>
        <w:rPr>
          <w:rFonts w:cs="Arial"/>
          <w:sz w:val="22"/>
          <w:szCs w:val="22"/>
        </w:rPr>
      </w:pPr>
      <w:r w:rsidRPr="009472B7">
        <w:rPr>
          <w:rFonts w:cs="Arial"/>
          <w:b/>
          <w:bCs/>
          <w:sz w:val="22"/>
          <w:szCs w:val="22"/>
        </w:rPr>
        <w:t>Art. 23</w:t>
      </w:r>
      <w:r w:rsidRPr="009472B7">
        <w:rPr>
          <w:rFonts w:cs="Arial"/>
          <w:sz w:val="22"/>
          <w:szCs w:val="22"/>
        </w:rPr>
        <w:t xml:space="preserve"> </w:t>
      </w:r>
      <w:r w:rsidRPr="009472B7">
        <w:rPr>
          <w:rFonts w:cs="Arial"/>
          <w:b/>
          <w:bCs/>
          <w:sz w:val="22"/>
          <w:szCs w:val="22"/>
        </w:rPr>
        <w:t>2. Preparación para la vida independiente</w:t>
      </w:r>
      <w:r w:rsidRPr="009472B7">
        <w:rPr>
          <w:rFonts w:cs="Arial"/>
          <w:sz w:val="22"/>
          <w:szCs w:val="22"/>
        </w:rPr>
        <w:t xml:space="preserve">. </w:t>
      </w:r>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3"/>
        <w:gridCol w:w="4805"/>
      </w:tblGrid>
      <w:tr w:rsidR="00766A6C" w:rsidRPr="006F4F58" w14:paraId="3006F67D" w14:textId="77777777" w:rsidTr="00766A6C">
        <w:tc>
          <w:tcPr>
            <w:tcW w:w="2365" w:type="pct"/>
            <w:shd w:val="clear" w:color="auto" w:fill="E97132"/>
            <w:tcMar>
              <w:top w:w="15" w:type="dxa"/>
              <w:left w:w="108" w:type="dxa"/>
              <w:bottom w:w="0" w:type="dxa"/>
              <w:right w:w="108" w:type="dxa"/>
            </w:tcMar>
            <w:hideMark/>
          </w:tcPr>
          <w:p w14:paraId="0FEA21F0" w14:textId="77777777" w:rsidR="00766A6C" w:rsidRPr="006F4F58" w:rsidRDefault="00766A6C" w:rsidP="00766A6C">
            <w:pPr>
              <w:spacing w:after="0" w:line="276" w:lineRule="auto"/>
              <w:jc w:val="both"/>
              <w:rPr>
                <w:rFonts w:cs="Arial"/>
                <w:color w:val="FFFFFF" w:themeColor="background1"/>
                <w:sz w:val="20"/>
                <w:szCs w:val="20"/>
              </w:rPr>
            </w:pPr>
            <w:r w:rsidRPr="006F4F58">
              <w:rPr>
                <w:rFonts w:cs="Arial"/>
                <w:color w:val="FFFFFF" w:themeColor="background1"/>
                <w:sz w:val="20"/>
                <w:szCs w:val="20"/>
              </w:rPr>
              <w:t>Artículo 23 inciso 2 en la ley actual</w:t>
            </w:r>
          </w:p>
        </w:tc>
        <w:tc>
          <w:tcPr>
            <w:tcW w:w="2635" w:type="pct"/>
            <w:shd w:val="clear" w:color="auto" w:fill="E97132"/>
            <w:tcMar>
              <w:top w:w="15" w:type="dxa"/>
              <w:left w:w="108" w:type="dxa"/>
              <w:bottom w:w="0" w:type="dxa"/>
              <w:right w:w="108" w:type="dxa"/>
            </w:tcMar>
            <w:hideMark/>
          </w:tcPr>
          <w:p w14:paraId="2424BA2C" w14:textId="77777777" w:rsidR="00766A6C" w:rsidRPr="006F4F58" w:rsidRDefault="00766A6C" w:rsidP="00766A6C">
            <w:pPr>
              <w:spacing w:after="0" w:line="276" w:lineRule="auto"/>
              <w:jc w:val="both"/>
              <w:rPr>
                <w:rFonts w:cs="Arial"/>
                <w:color w:val="FFFFFF" w:themeColor="background1"/>
                <w:sz w:val="20"/>
                <w:szCs w:val="20"/>
              </w:rPr>
            </w:pPr>
            <w:r w:rsidRPr="006F4F58">
              <w:rPr>
                <w:rFonts w:cs="Arial"/>
                <w:color w:val="FFFFFF" w:themeColor="background1"/>
                <w:sz w:val="20"/>
                <w:szCs w:val="20"/>
              </w:rPr>
              <w:t>Propuesta de modificación</w:t>
            </w:r>
          </w:p>
        </w:tc>
      </w:tr>
      <w:tr w:rsidR="00766A6C" w:rsidRPr="00766A6C" w14:paraId="6686B561" w14:textId="77777777" w:rsidTr="00766A6C">
        <w:tc>
          <w:tcPr>
            <w:tcW w:w="2365" w:type="pct"/>
            <w:shd w:val="clear" w:color="auto" w:fill="auto"/>
            <w:tcMar>
              <w:top w:w="15" w:type="dxa"/>
              <w:left w:w="108" w:type="dxa"/>
              <w:bottom w:w="0" w:type="dxa"/>
              <w:right w:w="108" w:type="dxa"/>
            </w:tcMar>
            <w:hideMark/>
          </w:tcPr>
          <w:p w14:paraId="012662A2" w14:textId="0071BFB0" w:rsidR="00766A6C" w:rsidRPr="00766A6C" w:rsidRDefault="00766A6C" w:rsidP="00D75875">
            <w:pPr>
              <w:spacing w:after="0" w:line="240" w:lineRule="auto"/>
              <w:jc w:val="both"/>
              <w:rPr>
                <w:rFonts w:cs="Arial"/>
                <w:sz w:val="20"/>
                <w:szCs w:val="20"/>
              </w:rPr>
            </w:pPr>
            <w:r w:rsidRPr="00766A6C">
              <w:rPr>
                <w:rFonts w:cs="Arial"/>
                <w:sz w:val="20"/>
                <w:szCs w:val="20"/>
              </w:rPr>
              <w:t>Art.23.2. Preparación para la vida independiente. De manera complementaria a la intervención que se realiza en las modalidades de cuidado alternativo, estos programas estarán enfocados a la preparación y acompañamiento para la vida</w:t>
            </w:r>
            <w:r>
              <w:rPr>
                <w:rFonts w:cs="Arial"/>
                <w:sz w:val="20"/>
                <w:szCs w:val="20"/>
              </w:rPr>
              <w:t xml:space="preserve"> </w:t>
            </w:r>
            <w:r w:rsidRPr="00766A6C">
              <w:rPr>
                <w:rFonts w:cs="Arial"/>
                <w:sz w:val="20"/>
                <w:szCs w:val="20"/>
              </w:rPr>
              <w:t>independiente de adolescentes y jóvenes que, habiendo agotado las posibilidades de vinculación familiar, deban egresar de los programas de protección especializada y vivir por sus propios medios. Además, este programa deberá considerar la</w:t>
            </w:r>
            <w:r>
              <w:rPr>
                <w:rFonts w:cs="Arial"/>
                <w:sz w:val="20"/>
                <w:szCs w:val="20"/>
              </w:rPr>
              <w:t xml:space="preserve"> </w:t>
            </w:r>
            <w:r w:rsidRPr="00766A6C">
              <w:rPr>
                <w:rFonts w:cs="Arial"/>
                <w:sz w:val="20"/>
                <w:szCs w:val="20"/>
              </w:rPr>
              <w:t>coordinación con otros ministerios y servicios, tales como vivienda, salud, trabajo y previsión social, que favorezcan un egreso adecuado de los programas de cuidado alternativo y una inserción exitosa en las redes de protección social.</w:t>
            </w:r>
          </w:p>
        </w:tc>
        <w:tc>
          <w:tcPr>
            <w:tcW w:w="2635" w:type="pct"/>
            <w:shd w:val="clear" w:color="auto" w:fill="auto"/>
            <w:tcMar>
              <w:top w:w="15" w:type="dxa"/>
              <w:left w:w="108" w:type="dxa"/>
              <w:bottom w:w="0" w:type="dxa"/>
              <w:right w:w="108" w:type="dxa"/>
            </w:tcMar>
            <w:hideMark/>
          </w:tcPr>
          <w:p w14:paraId="38A29347" w14:textId="77777777" w:rsidR="00766A6C" w:rsidRPr="00766A6C" w:rsidRDefault="00766A6C" w:rsidP="00737C58">
            <w:pPr>
              <w:spacing w:after="0" w:line="240" w:lineRule="auto"/>
              <w:jc w:val="both"/>
              <w:rPr>
                <w:rFonts w:cs="Arial"/>
                <w:sz w:val="20"/>
                <w:szCs w:val="20"/>
              </w:rPr>
            </w:pPr>
            <w:r w:rsidRPr="00766A6C">
              <w:rPr>
                <w:rFonts w:cs="Arial"/>
                <w:sz w:val="20"/>
                <w:szCs w:val="20"/>
              </w:rPr>
              <w:t xml:space="preserve">Art. 23 2. Preparación para la vida independiente. De manera complementaria a la intervención que se realiza en las modalidades de cuidado alternativo, estos programas estarán enfocados a la preparación y acompañamiento para la vida independiente de adolescentes y jóvenes que, habiendo agotado las posibilidades de vinculación familiar, deban egresar de los programas de protección especializada. </w:t>
            </w:r>
          </w:p>
          <w:p w14:paraId="0E7F82A2" w14:textId="77777777" w:rsidR="00737C58" w:rsidRDefault="00737C58" w:rsidP="00737C58">
            <w:pPr>
              <w:spacing w:after="0" w:line="240" w:lineRule="auto"/>
              <w:jc w:val="both"/>
              <w:rPr>
                <w:rFonts w:cs="Arial"/>
                <w:sz w:val="20"/>
                <w:szCs w:val="20"/>
              </w:rPr>
            </w:pPr>
          </w:p>
          <w:p w14:paraId="4FF8EE00" w14:textId="0C2F5293" w:rsidR="00766A6C" w:rsidRPr="00766A6C" w:rsidRDefault="00766A6C" w:rsidP="00737C58">
            <w:pPr>
              <w:spacing w:after="0" w:line="240" w:lineRule="auto"/>
              <w:jc w:val="both"/>
              <w:rPr>
                <w:rFonts w:cs="Arial"/>
                <w:sz w:val="20"/>
                <w:szCs w:val="20"/>
              </w:rPr>
            </w:pPr>
            <w:r w:rsidRPr="00766A6C">
              <w:rPr>
                <w:rFonts w:cs="Arial"/>
                <w:sz w:val="20"/>
                <w:szCs w:val="20"/>
              </w:rPr>
              <w:t>S</w:t>
            </w:r>
            <w:r>
              <w:rPr>
                <w:rFonts w:cs="Arial"/>
                <w:sz w:val="20"/>
                <w:szCs w:val="20"/>
              </w:rPr>
              <w:t xml:space="preserve">e propone eliminar </w:t>
            </w:r>
            <w:r w:rsidRPr="00766A6C">
              <w:rPr>
                <w:rFonts w:cs="Arial"/>
                <w:sz w:val="20"/>
                <w:szCs w:val="20"/>
              </w:rPr>
              <w:t>“y vivir por sus propios medios”.</w:t>
            </w:r>
          </w:p>
          <w:p w14:paraId="6CFC35E9" w14:textId="77777777" w:rsidR="00737C58" w:rsidRDefault="00737C58" w:rsidP="00737C58">
            <w:pPr>
              <w:spacing w:after="0" w:line="240" w:lineRule="auto"/>
              <w:jc w:val="both"/>
              <w:rPr>
                <w:rFonts w:cs="Arial"/>
                <w:sz w:val="20"/>
                <w:szCs w:val="20"/>
              </w:rPr>
            </w:pPr>
          </w:p>
          <w:p w14:paraId="4293B5DB" w14:textId="77777777" w:rsidR="00737C58" w:rsidRDefault="00766A6C" w:rsidP="00737C58">
            <w:pPr>
              <w:spacing w:after="0" w:line="240" w:lineRule="auto"/>
              <w:jc w:val="both"/>
              <w:rPr>
                <w:rFonts w:cs="Arial"/>
                <w:sz w:val="20"/>
                <w:szCs w:val="20"/>
              </w:rPr>
            </w:pPr>
            <w:r w:rsidRPr="00766A6C">
              <w:rPr>
                <w:rFonts w:cs="Arial"/>
                <w:sz w:val="20"/>
                <w:szCs w:val="20"/>
              </w:rPr>
              <w:t xml:space="preserve">Se propone agregar: </w:t>
            </w:r>
          </w:p>
          <w:p w14:paraId="4AB55EFA" w14:textId="77777777" w:rsidR="00737C58" w:rsidRDefault="00766A6C" w:rsidP="00737C58">
            <w:pPr>
              <w:pStyle w:val="Prrafodelista"/>
              <w:numPr>
                <w:ilvl w:val="0"/>
                <w:numId w:val="3"/>
              </w:numPr>
              <w:spacing w:after="0" w:line="240" w:lineRule="auto"/>
              <w:jc w:val="both"/>
              <w:rPr>
                <w:rFonts w:cs="Arial"/>
                <w:sz w:val="20"/>
                <w:szCs w:val="20"/>
              </w:rPr>
            </w:pPr>
            <w:r w:rsidRPr="00737C58">
              <w:rPr>
                <w:rFonts w:cs="Arial"/>
                <w:sz w:val="20"/>
                <w:szCs w:val="20"/>
              </w:rPr>
              <w:t xml:space="preserve">Esta línea de acción deberá contemplar programas para el desarrollo de las habilidades, capacidades y conocimientos necesarios para su proceso de transición a la vida adulta y se deberá disponer de programas de viviendas de transición para los y las jóvenes entre 18 y 24 años, que así lo requieran. </w:t>
            </w:r>
          </w:p>
          <w:p w14:paraId="7A032A9D" w14:textId="426F8104" w:rsidR="00766A6C" w:rsidRPr="00766A6C" w:rsidRDefault="00766A6C" w:rsidP="00737C58">
            <w:pPr>
              <w:pStyle w:val="Prrafodelista"/>
              <w:numPr>
                <w:ilvl w:val="0"/>
                <w:numId w:val="3"/>
              </w:numPr>
              <w:spacing w:after="0" w:line="240" w:lineRule="auto"/>
              <w:jc w:val="both"/>
              <w:rPr>
                <w:rFonts w:cs="Arial"/>
                <w:sz w:val="20"/>
                <w:szCs w:val="20"/>
              </w:rPr>
            </w:pPr>
            <w:r w:rsidRPr="00766A6C">
              <w:rPr>
                <w:rFonts w:cs="Arial"/>
                <w:sz w:val="20"/>
                <w:szCs w:val="20"/>
              </w:rPr>
              <w:lastRenderedPageBreak/>
              <w:t>Además, este programa deberá considerar la coordinación con otros ministerios y servicios, tales como vivienda, salud, trabajo y previsión social, que favorezcan un egreso adecuado de los programas de cuidado alternativo y una inserción exitosa en las redes de protección social.</w:t>
            </w:r>
          </w:p>
        </w:tc>
      </w:tr>
    </w:tbl>
    <w:p w14:paraId="1BCAF810" w14:textId="77777777" w:rsidR="00E26D46" w:rsidRDefault="00E26D46" w:rsidP="00F32931">
      <w:pPr>
        <w:spacing w:after="0" w:line="262" w:lineRule="auto"/>
        <w:jc w:val="both"/>
        <w:rPr>
          <w:b/>
          <w:bCs/>
          <w:sz w:val="22"/>
          <w:szCs w:val="22"/>
        </w:rPr>
      </w:pPr>
    </w:p>
    <w:p w14:paraId="2DAF8402" w14:textId="7DAD68F8" w:rsidR="00F32931" w:rsidRPr="00F32931" w:rsidRDefault="00E26D46" w:rsidP="00F32931">
      <w:pPr>
        <w:spacing w:after="0" w:line="262" w:lineRule="auto"/>
        <w:jc w:val="both"/>
        <w:rPr>
          <w:b/>
          <w:bCs/>
          <w:sz w:val="22"/>
          <w:szCs w:val="22"/>
        </w:rPr>
      </w:pPr>
      <w:r>
        <w:rPr>
          <w:b/>
          <w:bCs/>
          <w:sz w:val="22"/>
          <w:szCs w:val="22"/>
        </w:rPr>
        <w:t>Arg</w:t>
      </w:r>
      <w:r w:rsidR="00F32931" w:rsidRPr="00F32931">
        <w:rPr>
          <w:b/>
          <w:bCs/>
          <w:sz w:val="22"/>
          <w:szCs w:val="22"/>
        </w:rPr>
        <w:t>umentos normativos que sustentan la propuesta</w:t>
      </w:r>
    </w:p>
    <w:p w14:paraId="4EAE026E" w14:textId="47B2AC3D" w:rsidR="00F32931" w:rsidRPr="00F32931" w:rsidRDefault="00314047" w:rsidP="00F32931">
      <w:pPr>
        <w:spacing w:after="0" w:line="262" w:lineRule="auto"/>
        <w:jc w:val="both"/>
        <w:rPr>
          <w:sz w:val="22"/>
          <w:szCs w:val="22"/>
          <w:lang w:val="es-MX"/>
        </w:rPr>
      </w:pPr>
      <w:r>
        <w:rPr>
          <w:sz w:val="22"/>
          <w:szCs w:val="22"/>
        </w:rPr>
        <w:t>S</w:t>
      </w:r>
      <w:r w:rsidR="00F32931" w:rsidRPr="00F32931">
        <w:rPr>
          <w:sz w:val="22"/>
          <w:szCs w:val="22"/>
          <w:lang w:val="es-MX"/>
        </w:rPr>
        <w:t>e entregan algunos antecedentes que apoya</w:t>
      </w:r>
      <w:r>
        <w:rPr>
          <w:sz w:val="22"/>
          <w:szCs w:val="22"/>
          <w:lang w:val="es-MX"/>
        </w:rPr>
        <w:t>n</w:t>
      </w:r>
      <w:r w:rsidR="00F32931" w:rsidRPr="00F32931">
        <w:rPr>
          <w:sz w:val="22"/>
          <w:szCs w:val="22"/>
          <w:lang w:val="es-MX"/>
        </w:rPr>
        <w:t xml:space="preserve"> y fundamenta</w:t>
      </w:r>
      <w:r>
        <w:rPr>
          <w:sz w:val="22"/>
          <w:szCs w:val="22"/>
          <w:lang w:val="es-MX"/>
        </w:rPr>
        <w:t>n</w:t>
      </w:r>
      <w:r w:rsidR="00F32931" w:rsidRPr="00F32931">
        <w:rPr>
          <w:sz w:val="22"/>
          <w:szCs w:val="22"/>
          <w:lang w:val="es-MX"/>
        </w:rPr>
        <w:t xml:space="preserve"> </w:t>
      </w:r>
      <w:r w:rsidR="00936A21">
        <w:rPr>
          <w:sz w:val="22"/>
          <w:szCs w:val="22"/>
          <w:lang w:val="es-MX"/>
        </w:rPr>
        <w:t xml:space="preserve">los planteamientos de la Red de </w:t>
      </w:r>
      <w:r w:rsidR="00F32931" w:rsidRPr="00F32931">
        <w:rPr>
          <w:sz w:val="22"/>
          <w:szCs w:val="22"/>
          <w:lang w:val="es-MX"/>
        </w:rPr>
        <w:t xml:space="preserve">Instituciones de egresados de Protección, sobre la necesidad de modificar 2 de los artículos de </w:t>
      </w:r>
      <w:r w:rsidR="00172977">
        <w:rPr>
          <w:sz w:val="22"/>
          <w:szCs w:val="22"/>
          <w:lang w:val="es-MX"/>
        </w:rPr>
        <w:t>la</w:t>
      </w:r>
      <w:r w:rsidR="00F32931" w:rsidRPr="00F32931">
        <w:rPr>
          <w:sz w:val="22"/>
          <w:szCs w:val="22"/>
          <w:lang w:val="es-MX"/>
        </w:rPr>
        <w:t xml:space="preserve"> Ley </w:t>
      </w:r>
      <w:r w:rsidR="00172977">
        <w:rPr>
          <w:sz w:val="22"/>
          <w:szCs w:val="22"/>
          <w:lang w:val="es-MX"/>
        </w:rPr>
        <w:t xml:space="preserve">21.302, que crea al SPE, </w:t>
      </w:r>
      <w:r w:rsidR="00F32931" w:rsidRPr="00F32931">
        <w:rPr>
          <w:sz w:val="22"/>
          <w:szCs w:val="22"/>
          <w:lang w:val="es-MX"/>
        </w:rPr>
        <w:t>para garantizar que las y los jóvenes que cumplen 18 años, independiente de su condición y continuidad de estudios, deben seguir con un proceso de acompañamiento y preparación para su vida independiente.</w:t>
      </w:r>
    </w:p>
    <w:p w14:paraId="04A00E3B" w14:textId="77777777" w:rsidR="00F32931" w:rsidRPr="00F32931" w:rsidRDefault="00F32931" w:rsidP="00F32931">
      <w:pPr>
        <w:spacing w:after="0" w:line="262" w:lineRule="auto"/>
        <w:jc w:val="both"/>
        <w:rPr>
          <w:sz w:val="22"/>
          <w:szCs w:val="22"/>
          <w:lang w:val="es-MX"/>
        </w:rPr>
      </w:pPr>
    </w:p>
    <w:p w14:paraId="0B4E9FDD" w14:textId="72155781" w:rsidR="00F32931" w:rsidRPr="00F32931" w:rsidRDefault="00F32931" w:rsidP="00F32931">
      <w:pPr>
        <w:spacing w:after="0" w:line="262" w:lineRule="auto"/>
        <w:jc w:val="both"/>
        <w:rPr>
          <w:sz w:val="22"/>
          <w:szCs w:val="22"/>
          <w:lang w:val="es-MX"/>
        </w:rPr>
      </w:pPr>
      <w:r w:rsidRPr="00F32931">
        <w:rPr>
          <w:sz w:val="22"/>
          <w:szCs w:val="22"/>
          <w:lang w:val="es-MX"/>
        </w:rPr>
        <w:t>Los análisis realizados</w:t>
      </w:r>
      <w:r w:rsidRPr="00F32931">
        <w:rPr>
          <w:rStyle w:val="Refdenotaalpie"/>
          <w:sz w:val="22"/>
          <w:szCs w:val="22"/>
          <w:lang w:val="es-MX"/>
        </w:rPr>
        <w:footnoteReference w:id="3"/>
      </w:r>
      <w:r w:rsidRPr="00F32931">
        <w:rPr>
          <w:sz w:val="22"/>
          <w:szCs w:val="22"/>
          <w:lang w:val="es-MX"/>
        </w:rPr>
        <w:t xml:space="preserve"> muestran la continuidad que debe existir entre los cuidados y la protección </w:t>
      </w:r>
      <w:r w:rsidR="0021562B">
        <w:rPr>
          <w:sz w:val="22"/>
          <w:szCs w:val="22"/>
          <w:lang w:val="es-MX"/>
        </w:rPr>
        <w:t xml:space="preserve">a las </w:t>
      </w:r>
      <w:r w:rsidRPr="00F32931">
        <w:rPr>
          <w:sz w:val="22"/>
          <w:szCs w:val="22"/>
          <w:lang w:val="es-MX"/>
        </w:rPr>
        <w:t>que tienen derecho las personas menores de edad y los necesarios apoyos que deben recibir para transitar hacia una vida independiente</w:t>
      </w:r>
      <w:r w:rsidR="00CF65C0">
        <w:rPr>
          <w:sz w:val="22"/>
          <w:szCs w:val="22"/>
          <w:lang w:val="es-MX"/>
        </w:rPr>
        <w:t xml:space="preserve"> acompañados</w:t>
      </w:r>
      <w:r w:rsidRPr="00F32931">
        <w:rPr>
          <w:sz w:val="22"/>
          <w:szCs w:val="22"/>
          <w:lang w:val="es-MX"/>
        </w:rPr>
        <w:t>. Cuáles son estos apoyos y la obligación del Estado de proporcionarlos son dos cuestiones que ya aparecen en las Directrices</w:t>
      </w:r>
      <w:r w:rsidR="0021562B">
        <w:rPr>
          <w:sz w:val="22"/>
          <w:szCs w:val="22"/>
          <w:lang w:val="es-MX"/>
        </w:rPr>
        <w:t xml:space="preserve"> sobre las modalidades alternativas de cuidado</w:t>
      </w:r>
      <w:r w:rsidRPr="00F32931">
        <w:rPr>
          <w:sz w:val="22"/>
          <w:szCs w:val="22"/>
          <w:lang w:val="es-MX"/>
        </w:rPr>
        <w:t>, la Resolución de la Asamblea General de Naciones Unidas sobre los Derechos del Niño de 2019 y el Día de Debate General de 2021 asumiendo la necesidad de garantizar unos y otros de manera ininterrumpida (aunque diferenciada).</w:t>
      </w:r>
    </w:p>
    <w:p w14:paraId="62579E20" w14:textId="77777777" w:rsidR="00F32931" w:rsidRPr="00F32931" w:rsidRDefault="00F32931" w:rsidP="00F32931">
      <w:pPr>
        <w:spacing w:after="0" w:line="262" w:lineRule="auto"/>
        <w:jc w:val="both"/>
        <w:rPr>
          <w:sz w:val="22"/>
          <w:szCs w:val="22"/>
          <w:lang w:val="es-MX"/>
        </w:rPr>
      </w:pPr>
    </w:p>
    <w:p w14:paraId="565A1E58" w14:textId="77777777" w:rsidR="00F32931" w:rsidRPr="00F32931" w:rsidRDefault="00F32931" w:rsidP="00F32931">
      <w:pPr>
        <w:spacing w:after="0" w:line="262" w:lineRule="auto"/>
        <w:jc w:val="both"/>
        <w:rPr>
          <w:sz w:val="22"/>
          <w:szCs w:val="22"/>
        </w:rPr>
      </w:pPr>
      <w:r w:rsidRPr="00F32931">
        <w:rPr>
          <w:sz w:val="22"/>
          <w:szCs w:val="22"/>
          <w:lang w:val="es-MX"/>
        </w:rPr>
        <w:t>En suma “Los Estados tienen la obligación de proteger, respetar y promover los</w:t>
      </w:r>
      <w:r w:rsidRPr="00F32931">
        <w:rPr>
          <w:sz w:val="22"/>
          <w:szCs w:val="22"/>
        </w:rPr>
        <w:t xml:space="preserve"> derechos humanos. Cuando se trata de las personas menores de edad el alcance de dicha obligación se contempla en la Convención, pero dicha obligación no desaparece cuando alcanzan la mayoría de edad</w:t>
      </w:r>
      <w:r w:rsidRPr="00FD2A79">
        <w:rPr>
          <w:b/>
          <w:bCs/>
          <w:i/>
          <w:iCs/>
          <w:sz w:val="22"/>
          <w:szCs w:val="22"/>
        </w:rPr>
        <w:t>. Lo que ocurre ahí es que la fórmula jurídica (guarda o tutela) decae porque las personas alcanzan jurídicamente la plena capacidad de obrar, pero no decae la necesidad de contar con apoyos para que esas decisiones les permita efectivamente transitar hacia la vida independiente,</w:t>
      </w:r>
      <w:r w:rsidRPr="00F32931">
        <w:rPr>
          <w:sz w:val="22"/>
          <w:szCs w:val="22"/>
        </w:rPr>
        <w:t xml:space="preserve"> configurándose como una obligación de los Estados el proporcionarlos, obligación que ha de corresponderse con el correlativo derecho subjetivo a obtenerlo, debidamente reconocido en una norma con rango legal” (AISOS, 2024).</w:t>
      </w:r>
    </w:p>
    <w:p w14:paraId="5A4B0550" w14:textId="77777777" w:rsidR="00F32931" w:rsidRPr="00F32931" w:rsidRDefault="00F32931" w:rsidP="00F32931">
      <w:pPr>
        <w:spacing w:after="0" w:line="262" w:lineRule="auto"/>
        <w:jc w:val="both"/>
        <w:rPr>
          <w:sz w:val="22"/>
          <w:szCs w:val="22"/>
        </w:rPr>
      </w:pPr>
    </w:p>
    <w:p w14:paraId="6E43E4FA" w14:textId="5726E05F" w:rsidR="009472B7" w:rsidRPr="009472B7" w:rsidRDefault="00F32931" w:rsidP="00F40C37">
      <w:pPr>
        <w:spacing w:after="0" w:line="262" w:lineRule="auto"/>
        <w:jc w:val="both"/>
        <w:rPr>
          <w:rFonts w:cs="Arial"/>
          <w:b/>
          <w:bCs/>
          <w:sz w:val="22"/>
          <w:szCs w:val="22"/>
        </w:rPr>
      </w:pPr>
      <w:r w:rsidRPr="00F32931">
        <w:rPr>
          <w:sz w:val="22"/>
          <w:szCs w:val="22"/>
        </w:rPr>
        <w:t xml:space="preserve">Complementan señalando que “Si el Estado es el </w:t>
      </w:r>
      <w:r w:rsidRPr="00F32931">
        <w:rPr>
          <w:i/>
          <w:iCs/>
          <w:sz w:val="22"/>
          <w:szCs w:val="22"/>
        </w:rPr>
        <w:t>corporate parent</w:t>
      </w:r>
      <w:r w:rsidRPr="00F32931">
        <w:rPr>
          <w:sz w:val="22"/>
          <w:szCs w:val="22"/>
        </w:rPr>
        <w:t xml:space="preserve"> y durante la medida de protección ejerce exactamente las mismas potestades y facultades que los responsables parentales biológicos, nada justifica que deje de tener responsabilidad sobre dichas personas al alcanzar la mayoría de edad, como no la pierden los responsables parentales respecto de sus hijos e hijas biológicas que viven con ellos. </w:t>
      </w:r>
      <w:r w:rsidR="00F40C37">
        <w:rPr>
          <w:sz w:val="22"/>
          <w:szCs w:val="22"/>
        </w:rPr>
        <w:t xml:space="preserve"> </w:t>
      </w:r>
      <w:r w:rsidRPr="00F32931">
        <w:rPr>
          <w:sz w:val="22"/>
          <w:szCs w:val="22"/>
        </w:rPr>
        <w:t>Hoy se presenta una oportunidad en el marco de la Ley de armonización que permite corregir estas fallas y terminar con la situación de calle de cientos de jóvenes que han vivido bajo la protección del Estado y que no cuentan con redes de apoyo.</w:t>
      </w:r>
    </w:p>
    <w:sectPr w:rsidR="009472B7" w:rsidRPr="009472B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18403" w14:textId="77777777" w:rsidR="00B51510" w:rsidRDefault="00B51510" w:rsidP="00092B42">
      <w:pPr>
        <w:spacing w:after="0" w:line="240" w:lineRule="auto"/>
      </w:pPr>
      <w:r>
        <w:separator/>
      </w:r>
    </w:p>
  </w:endnote>
  <w:endnote w:type="continuationSeparator" w:id="0">
    <w:p w14:paraId="6E3709E5" w14:textId="77777777" w:rsidR="00B51510" w:rsidRDefault="00B51510" w:rsidP="0009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A102" w14:textId="77777777" w:rsidR="00B51510" w:rsidRDefault="00B51510" w:rsidP="00092B42">
      <w:pPr>
        <w:spacing w:after="0" w:line="240" w:lineRule="auto"/>
      </w:pPr>
      <w:r>
        <w:separator/>
      </w:r>
    </w:p>
  </w:footnote>
  <w:footnote w:type="continuationSeparator" w:id="0">
    <w:p w14:paraId="1E6EA441" w14:textId="77777777" w:rsidR="00B51510" w:rsidRDefault="00B51510" w:rsidP="00092B42">
      <w:pPr>
        <w:spacing w:after="0" w:line="240" w:lineRule="auto"/>
      </w:pPr>
      <w:r>
        <w:continuationSeparator/>
      </w:r>
    </w:p>
  </w:footnote>
  <w:footnote w:id="1">
    <w:p w14:paraId="754AA22C" w14:textId="77777777" w:rsidR="00AB15F2" w:rsidRPr="009A7E13" w:rsidRDefault="00AB15F2" w:rsidP="00AB15F2">
      <w:pPr>
        <w:pStyle w:val="Textonotapie"/>
        <w:rPr>
          <w:lang w:val="es-MX"/>
        </w:rPr>
      </w:pPr>
      <w:r>
        <w:rPr>
          <w:rStyle w:val="Refdenotaalpie"/>
        </w:rPr>
        <w:footnoteRef/>
      </w:r>
      <w:r>
        <w:rPr>
          <w:rStyle w:val="Refdenotaalpie"/>
        </w:rPr>
        <w:footnoteRef/>
      </w:r>
      <w:r>
        <w:t xml:space="preserve"> </w:t>
      </w:r>
      <w:hyperlink r:id="rId1" w:history="1">
        <w:r w:rsidRPr="002635C2">
          <w:rPr>
            <w:rStyle w:val="Hipervnculo"/>
          </w:rPr>
          <w:t>https://www.bcn.cl/leychile/navegar?idNorma=1192704</w:t>
        </w:r>
      </w:hyperlink>
      <w:r>
        <w:t xml:space="preserve"> </w:t>
      </w:r>
    </w:p>
  </w:footnote>
  <w:footnote w:id="2">
    <w:p w14:paraId="0554C374" w14:textId="77777777" w:rsidR="0012711B" w:rsidRPr="003D5A39" w:rsidRDefault="0012711B" w:rsidP="0012711B">
      <w:pPr>
        <w:spacing w:after="0" w:line="240" w:lineRule="auto"/>
        <w:jc w:val="both"/>
        <w:rPr>
          <w:lang w:val="es-MX"/>
        </w:rPr>
      </w:pPr>
      <w:r>
        <w:rPr>
          <w:rStyle w:val="Refdenotaalpie"/>
        </w:rPr>
        <w:footnoteRef/>
      </w:r>
      <w:r>
        <w:t xml:space="preserve"> </w:t>
      </w:r>
      <w:r w:rsidRPr="003D5A39">
        <w:rPr>
          <w:sz w:val="20"/>
          <w:szCs w:val="20"/>
        </w:rPr>
        <w:t xml:space="preserve">Fundación Sentido, Aldeas Infantiles SOS Chile, Corporación María Ayuda, Corporación Crecer Mejor, Candelaria Apoya, </w:t>
      </w:r>
      <w:r>
        <w:rPr>
          <w:sz w:val="20"/>
          <w:szCs w:val="20"/>
        </w:rPr>
        <w:t xml:space="preserve">Fundación </w:t>
      </w:r>
      <w:r w:rsidRPr="003D5A39">
        <w:rPr>
          <w:sz w:val="20"/>
          <w:szCs w:val="20"/>
        </w:rPr>
        <w:t>Red Egresa, Proyecto Juntos por la Infancia 3xi-COS-CPC, Proyecto B</w:t>
      </w:r>
      <w:r>
        <w:rPr>
          <w:sz w:val="20"/>
          <w:szCs w:val="20"/>
        </w:rPr>
        <w:t>.</w:t>
      </w:r>
    </w:p>
  </w:footnote>
  <w:footnote w:id="3">
    <w:p w14:paraId="35AFD299" w14:textId="77777777" w:rsidR="00F32931" w:rsidRPr="006F4F58" w:rsidRDefault="00F32931" w:rsidP="00F32931">
      <w:pPr>
        <w:pStyle w:val="Textonotapie"/>
        <w:rPr>
          <w:sz w:val="18"/>
          <w:szCs w:val="18"/>
          <w:lang w:val="es-MX"/>
        </w:rPr>
      </w:pPr>
      <w:r w:rsidRPr="006F4F58">
        <w:rPr>
          <w:rStyle w:val="Refdenotaalpie"/>
          <w:sz w:val="18"/>
          <w:szCs w:val="18"/>
        </w:rPr>
        <w:footnoteRef/>
      </w:r>
      <w:r w:rsidRPr="006F4F58">
        <w:rPr>
          <w:sz w:val="18"/>
          <w:szCs w:val="18"/>
        </w:rPr>
        <w:t xml:space="preserve"> </w:t>
      </w:r>
      <w:r w:rsidRPr="006F4F58">
        <w:rPr>
          <w:sz w:val="18"/>
          <w:szCs w:val="18"/>
          <w:lang w:val="es-MX"/>
        </w:rPr>
        <w:t>Aldeas Infantiles SOS internacional estándares internacionales y recomendaciones sobre el derecho al egreso de NNAJ privados de cuidado parental. Octubre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B5C0" w14:textId="7317C036" w:rsidR="00092B42" w:rsidRDefault="00092B42">
    <w:pPr>
      <w:pStyle w:val="Encabezado"/>
      <w:rPr>
        <w:sz w:val="20"/>
        <w:szCs w:val="20"/>
        <w:lang w:val="es-MX"/>
      </w:rPr>
    </w:pPr>
    <w:r w:rsidRPr="00092B42">
      <w:rPr>
        <w:sz w:val="20"/>
        <w:szCs w:val="20"/>
        <w:lang w:val="es-MX"/>
      </w:rPr>
      <w:t>Red de instituciones egresados de protección</w:t>
    </w:r>
  </w:p>
  <w:p w14:paraId="27943554" w14:textId="6340AE5F" w:rsidR="00092B42" w:rsidRPr="00092B42" w:rsidRDefault="00D75875">
    <w:pPr>
      <w:pStyle w:val="Encabezado"/>
      <w:rPr>
        <w:sz w:val="20"/>
        <w:szCs w:val="20"/>
        <w:lang w:val="es-MX"/>
      </w:rPr>
    </w:pPr>
    <w:r>
      <w:rPr>
        <w:sz w:val="20"/>
        <w:szCs w:val="20"/>
        <w:lang w:val="es-MX"/>
      </w:rPr>
      <w:t xml:space="preserve">01 julio </w:t>
    </w:r>
    <w:r w:rsidR="00092B42">
      <w:rPr>
        <w:sz w:val="20"/>
        <w:szCs w:val="20"/>
        <w:lang w:val="es-MX"/>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A77"/>
    <w:multiLevelType w:val="hybridMultilevel"/>
    <w:tmpl w:val="374CD8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9355CBF"/>
    <w:multiLevelType w:val="hybridMultilevel"/>
    <w:tmpl w:val="55AAEB6E"/>
    <w:lvl w:ilvl="0" w:tplc="9D0EAA3C">
      <w:start w:val="7"/>
      <w:numFmt w:val="bullet"/>
      <w:lvlText w:val="-"/>
      <w:lvlJc w:val="left"/>
      <w:pPr>
        <w:ind w:left="360" w:hanging="360"/>
      </w:pPr>
      <w:rPr>
        <w:rFonts w:ascii="Aptos" w:eastAsiaTheme="minorHAnsi" w:hAnsi="Aptos"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71145636"/>
    <w:multiLevelType w:val="multilevel"/>
    <w:tmpl w:val="38B6FF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784813878">
    <w:abstractNumId w:val="0"/>
  </w:num>
  <w:num w:numId="2" w16cid:durableId="114910601">
    <w:abstractNumId w:val="2"/>
  </w:num>
  <w:num w:numId="3" w16cid:durableId="202220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F7"/>
    <w:rsid w:val="00016EF3"/>
    <w:rsid w:val="00092B42"/>
    <w:rsid w:val="00106A79"/>
    <w:rsid w:val="0012711B"/>
    <w:rsid w:val="00131FB8"/>
    <w:rsid w:val="00141253"/>
    <w:rsid w:val="00141C4D"/>
    <w:rsid w:val="00172977"/>
    <w:rsid w:val="00172EE1"/>
    <w:rsid w:val="00176183"/>
    <w:rsid w:val="0021562B"/>
    <w:rsid w:val="002549B7"/>
    <w:rsid w:val="00274F74"/>
    <w:rsid w:val="002C4391"/>
    <w:rsid w:val="002C76C9"/>
    <w:rsid w:val="0030707D"/>
    <w:rsid w:val="00314047"/>
    <w:rsid w:val="00350318"/>
    <w:rsid w:val="00351AE6"/>
    <w:rsid w:val="003D4724"/>
    <w:rsid w:val="003D7AFF"/>
    <w:rsid w:val="00465E6E"/>
    <w:rsid w:val="00556537"/>
    <w:rsid w:val="005B28A0"/>
    <w:rsid w:val="005D1346"/>
    <w:rsid w:val="006672AC"/>
    <w:rsid w:val="006A10BE"/>
    <w:rsid w:val="006A2334"/>
    <w:rsid w:val="006A69D6"/>
    <w:rsid w:val="006F4F58"/>
    <w:rsid w:val="00726FFF"/>
    <w:rsid w:val="00737C58"/>
    <w:rsid w:val="00766A6C"/>
    <w:rsid w:val="00767CE1"/>
    <w:rsid w:val="00770913"/>
    <w:rsid w:val="008357CF"/>
    <w:rsid w:val="008F3DE4"/>
    <w:rsid w:val="00936A21"/>
    <w:rsid w:val="009472B7"/>
    <w:rsid w:val="00951CED"/>
    <w:rsid w:val="00A2260F"/>
    <w:rsid w:val="00A36E39"/>
    <w:rsid w:val="00A402F8"/>
    <w:rsid w:val="00A4400F"/>
    <w:rsid w:val="00A874E5"/>
    <w:rsid w:val="00AB15F2"/>
    <w:rsid w:val="00AF08EB"/>
    <w:rsid w:val="00B22ED6"/>
    <w:rsid w:val="00B26DBB"/>
    <w:rsid w:val="00B461A4"/>
    <w:rsid w:val="00B51510"/>
    <w:rsid w:val="00BA511F"/>
    <w:rsid w:val="00BF4110"/>
    <w:rsid w:val="00C33A2E"/>
    <w:rsid w:val="00C555C1"/>
    <w:rsid w:val="00C618D2"/>
    <w:rsid w:val="00CB52EC"/>
    <w:rsid w:val="00CF65C0"/>
    <w:rsid w:val="00D75875"/>
    <w:rsid w:val="00D9700D"/>
    <w:rsid w:val="00DB0BED"/>
    <w:rsid w:val="00DB33B4"/>
    <w:rsid w:val="00DD3772"/>
    <w:rsid w:val="00DF3DA8"/>
    <w:rsid w:val="00E26D46"/>
    <w:rsid w:val="00E50E65"/>
    <w:rsid w:val="00E664FB"/>
    <w:rsid w:val="00E727CF"/>
    <w:rsid w:val="00F32931"/>
    <w:rsid w:val="00F40C37"/>
    <w:rsid w:val="00FD2A79"/>
    <w:rsid w:val="00FE17F7"/>
    <w:rsid w:val="00FE74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948F"/>
  <w15:chartTrackingRefBased/>
  <w15:docId w15:val="{D389FD8F-664B-4821-9F3C-F24F2968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1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1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17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17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17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17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17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17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17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17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17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17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17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17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17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17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17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17F7"/>
    <w:rPr>
      <w:rFonts w:eastAsiaTheme="majorEastAsia" w:cstheme="majorBidi"/>
      <w:color w:val="272727" w:themeColor="text1" w:themeTint="D8"/>
    </w:rPr>
  </w:style>
  <w:style w:type="paragraph" w:styleId="Ttulo">
    <w:name w:val="Title"/>
    <w:basedOn w:val="Normal"/>
    <w:next w:val="Normal"/>
    <w:link w:val="TtuloCar"/>
    <w:uiPriority w:val="10"/>
    <w:qFormat/>
    <w:rsid w:val="00FE1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17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17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17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17F7"/>
    <w:pPr>
      <w:spacing w:before="160"/>
      <w:jc w:val="center"/>
    </w:pPr>
    <w:rPr>
      <w:i/>
      <w:iCs/>
      <w:color w:val="404040" w:themeColor="text1" w:themeTint="BF"/>
    </w:rPr>
  </w:style>
  <w:style w:type="character" w:customStyle="1" w:styleId="CitaCar">
    <w:name w:val="Cita Car"/>
    <w:basedOn w:val="Fuentedeprrafopredeter"/>
    <w:link w:val="Cita"/>
    <w:uiPriority w:val="29"/>
    <w:rsid w:val="00FE17F7"/>
    <w:rPr>
      <w:i/>
      <w:iCs/>
      <w:color w:val="404040" w:themeColor="text1" w:themeTint="BF"/>
    </w:rPr>
  </w:style>
  <w:style w:type="paragraph" w:styleId="Prrafodelista">
    <w:name w:val="List Paragraph"/>
    <w:basedOn w:val="Normal"/>
    <w:uiPriority w:val="34"/>
    <w:qFormat/>
    <w:rsid w:val="00FE17F7"/>
    <w:pPr>
      <w:ind w:left="720"/>
      <w:contextualSpacing/>
    </w:pPr>
  </w:style>
  <w:style w:type="character" w:styleId="nfasisintenso">
    <w:name w:val="Intense Emphasis"/>
    <w:basedOn w:val="Fuentedeprrafopredeter"/>
    <w:uiPriority w:val="21"/>
    <w:qFormat/>
    <w:rsid w:val="00FE17F7"/>
    <w:rPr>
      <w:i/>
      <w:iCs/>
      <w:color w:val="0F4761" w:themeColor="accent1" w:themeShade="BF"/>
    </w:rPr>
  </w:style>
  <w:style w:type="paragraph" w:styleId="Citadestacada">
    <w:name w:val="Intense Quote"/>
    <w:basedOn w:val="Normal"/>
    <w:next w:val="Normal"/>
    <w:link w:val="CitadestacadaCar"/>
    <w:uiPriority w:val="30"/>
    <w:qFormat/>
    <w:rsid w:val="00FE1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17F7"/>
    <w:rPr>
      <w:i/>
      <w:iCs/>
      <w:color w:val="0F4761" w:themeColor="accent1" w:themeShade="BF"/>
    </w:rPr>
  </w:style>
  <w:style w:type="character" w:styleId="Referenciaintensa">
    <w:name w:val="Intense Reference"/>
    <w:basedOn w:val="Fuentedeprrafopredeter"/>
    <w:uiPriority w:val="32"/>
    <w:qFormat/>
    <w:rsid w:val="00FE17F7"/>
    <w:rPr>
      <w:b/>
      <w:bCs/>
      <w:smallCaps/>
      <w:color w:val="0F4761" w:themeColor="accent1" w:themeShade="BF"/>
      <w:spacing w:val="5"/>
    </w:rPr>
  </w:style>
  <w:style w:type="paragraph" w:styleId="NormalWeb">
    <w:name w:val="Normal (Web)"/>
    <w:basedOn w:val="Normal"/>
    <w:uiPriority w:val="99"/>
    <w:unhideWhenUsed/>
    <w:rsid w:val="00FE17F7"/>
    <w:pPr>
      <w:spacing w:before="100" w:beforeAutospacing="1" w:after="100" w:afterAutospacing="1" w:line="240" w:lineRule="auto"/>
    </w:pPr>
    <w:rPr>
      <w:rFonts w:ascii="Times New Roman" w:eastAsia="Times New Roman" w:hAnsi="Times New Roman" w:cs="Times New Roman"/>
      <w:kern w:val="0"/>
      <w:lang w:eastAsia="es-CL"/>
      <w14:ligatures w14:val="none"/>
    </w:rPr>
  </w:style>
  <w:style w:type="paragraph" w:styleId="Encabezado">
    <w:name w:val="header"/>
    <w:basedOn w:val="Normal"/>
    <w:link w:val="EncabezadoCar"/>
    <w:uiPriority w:val="99"/>
    <w:unhideWhenUsed/>
    <w:rsid w:val="00092B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B42"/>
  </w:style>
  <w:style w:type="paragraph" w:styleId="Piedepgina">
    <w:name w:val="footer"/>
    <w:basedOn w:val="Normal"/>
    <w:link w:val="PiedepginaCar"/>
    <w:uiPriority w:val="99"/>
    <w:unhideWhenUsed/>
    <w:rsid w:val="00092B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B42"/>
  </w:style>
  <w:style w:type="character" w:styleId="Refdenotaalpie">
    <w:name w:val="footnote reference"/>
    <w:basedOn w:val="Fuentedeprrafopredeter"/>
    <w:uiPriority w:val="99"/>
    <w:semiHidden/>
    <w:unhideWhenUsed/>
    <w:rsid w:val="002549B7"/>
    <w:rPr>
      <w:vertAlign w:val="superscript"/>
    </w:rPr>
  </w:style>
  <w:style w:type="paragraph" w:styleId="Textonotapie">
    <w:name w:val="footnote text"/>
    <w:basedOn w:val="Normal"/>
    <w:link w:val="TextonotapieCar"/>
    <w:uiPriority w:val="99"/>
    <w:semiHidden/>
    <w:unhideWhenUsed/>
    <w:rsid w:val="00AB15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15F2"/>
    <w:rPr>
      <w:sz w:val="20"/>
      <w:szCs w:val="20"/>
    </w:rPr>
  </w:style>
  <w:style w:type="character" w:styleId="Hipervnculo">
    <w:name w:val="Hyperlink"/>
    <w:basedOn w:val="Fuentedeprrafopredeter"/>
    <w:uiPriority w:val="99"/>
    <w:unhideWhenUsed/>
    <w:rsid w:val="00AB15F2"/>
    <w:rPr>
      <w:color w:val="467886" w:themeColor="hyperlink"/>
      <w:u w:val="single"/>
    </w:rPr>
  </w:style>
  <w:style w:type="paragraph" w:styleId="Revisin">
    <w:name w:val="Revision"/>
    <w:hidden/>
    <w:uiPriority w:val="99"/>
    <w:semiHidden/>
    <w:rsid w:val="003D7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7026">
      <w:bodyDiv w:val="1"/>
      <w:marLeft w:val="0"/>
      <w:marRight w:val="0"/>
      <w:marTop w:val="0"/>
      <w:marBottom w:val="0"/>
      <w:divBdr>
        <w:top w:val="none" w:sz="0" w:space="0" w:color="auto"/>
        <w:left w:val="none" w:sz="0" w:space="0" w:color="auto"/>
        <w:bottom w:val="none" w:sz="0" w:space="0" w:color="auto"/>
        <w:right w:val="none" w:sz="0" w:space="0" w:color="auto"/>
      </w:divBdr>
    </w:div>
    <w:div w:id="1662346793">
      <w:bodyDiv w:val="1"/>
      <w:marLeft w:val="0"/>
      <w:marRight w:val="0"/>
      <w:marTop w:val="0"/>
      <w:marBottom w:val="0"/>
      <w:divBdr>
        <w:top w:val="none" w:sz="0" w:space="0" w:color="auto"/>
        <w:left w:val="none" w:sz="0" w:space="0" w:color="auto"/>
        <w:bottom w:val="none" w:sz="0" w:space="0" w:color="auto"/>
        <w:right w:val="none" w:sz="0" w:space="0" w:color="auto"/>
      </w:divBdr>
    </w:div>
    <w:div w:id="18725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cn.cl/leychile/navegar?idNorma=11927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7032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Paulina</dc:creator>
  <cp:keywords/>
  <dc:description/>
  <cp:lastModifiedBy>Francisca González</cp:lastModifiedBy>
  <cp:revision>2</cp:revision>
  <dcterms:created xsi:type="dcterms:W3CDTF">2025-07-02T15:29:00Z</dcterms:created>
  <dcterms:modified xsi:type="dcterms:W3CDTF">2025-07-02T15:29:00Z</dcterms:modified>
</cp:coreProperties>
</file>