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7316" w:type="dxa"/>
        <w:tblLook w:val="04A0" w:firstRow="1" w:lastRow="0" w:firstColumn="1" w:lastColumn="0" w:noHBand="0" w:noVBand="1"/>
      </w:tblPr>
      <w:tblGrid>
        <w:gridCol w:w="3859"/>
        <w:gridCol w:w="4692"/>
        <w:gridCol w:w="4485"/>
        <w:gridCol w:w="4280"/>
      </w:tblGrid>
      <w:tr w:rsidR="00D6385F" w:rsidRPr="008C072A" w14:paraId="09B62BF3" w14:textId="00CB631C" w:rsidTr="00D6385F">
        <w:trPr>
          <w:tblHeader/>
        </w:trPr>
        <w:tc>
          <w:tcPr>
            <w:tcW w:w="3859" w:type="dxa"/>
            <w:shd w:val="pct10" w:color="auto" w:fill="auto"/>
          </w:tcPr>
          <w:p w14:paraId="570E7B49" w14:textId="77777777" w:rsidR="00D6385F" w:rsidRPr="008C072A" w:rsidRDefault="00D6385F" w:rsidP="001E7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TEXTO VIGENTE</w:t>
            </w:r>
          </w:p>
        </w:tc>
        <w:tc>
          <w:tcPr>
            <w:tcW w:w="4692" w:type="dxa"/>
            <w:shd w:val="pct10" w:color="auto" w:fill="auto"/>
          </w:tcPr>
          <w:p w14:paraId="619C89EA" w14:textId="7D520DB9" w:rsidR="00D6385F" w:rsidRPr="008C072A" w:rsidRDefault="00D6385F" w:rsidP="00593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PROYECTO DE LEY (MOCIÓN)</w:t>
            </w:r>
          </w:p>
        </w:tc>
        <w:tc>
          <w:tcPr>
            <w:tcW w:w="4485" w:type="dxa"/>
            <w:shd w:val="pct10" w:color="auto" w:fill="auto"/>
          </w:tcPr>
          <w:p w14:paraId="4D63D383" w14:textId="2FF929DE" w:rsidR="00D6385F" w:rsidRDefault="00D6385F" w:rsidP="00593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INDICACIONES EJECUTIVO (NUEVO PRIMER INFORME)</w:t>
            </w:r>
          </w:p>
        </w:tc>
        <w:tc>
          <w:tcPr>
            <w:tcW w:w="4280" w:type="dxa"/>
            <w:shd w:val="pct10" w:color="auto" w:fill="auto"/>
          </w:tcPr>
          <w:p w14:paraId="15A5E39E" w14:textId="22F69BC6" w:rsidR="00D6385F" w:rsidRDefault="00D6385F" w:rsidP="00593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INDICACIONES PRIMER INFORME COMISIÓN</w:t>
            </w:r>
          </w:p>
        </w:tc>
      </w:tr>
      <w:tr w:rsidR="00D6385F" w:rsidRPr="008C072A" w14:paraId="17D6B27B" w14:textId="1819F1F4" w:rsidTr="00D6385F">
        <w:trPr>
          <w:trHeight w:val="1175"/>
        </w:trPr>
        <w:tc>
          <w:tcPr>
            <w:tcW w:w="3859" w:type="dxa"/>
          </w:tcPr>
          <w:p w14:paraId="428754E5" w14:textId="77777777" w:rsidR="00D6385F" w:rsidRPr="00DD1531" w:rsidRDefault="00D6385F" w:rsidP="00BB0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14:paraId="4598964F" w14:textId="77777777" w:rsidR="00D6385F" w:rsidRPr="005C10E0" w:rsidRDefault="00D6385F" w:rsidP="005C10E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C10E0">
              <w:rPr>
                <w:rFonts w:ascii="Arial" w:hAnsi="Arial" w:cs="Arial"/>
                <w:sz w:val="20"/>
                <w:szCs w:val="20"/>
                <w:lang w:val="es-ES"/>
              </w:rPr>
              <w:t>Capítulo I: Disposiciones generales</w:t>
            </w:r>
          </w:p>
          <w:p w14:paraId="5CD0A537" w14:textId="77777777" w:rsidR="00D6385F" w:rsidRPr="00AD59D7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485" w:type="dxa"/>
          </w:tcPr>
          <w:p w14:paraId="4B5F0885" w14:textId="5086178F" w:rsidR="00D6385F" w:rsidRDefault="00D6385F" w:rsidP="005F0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0E0">
              <w:rPr>
                <w:rFonts w:ascii="Arial" w:hAnsi="Arial" w:cs="Arial"/>
                <w:b/>
                <w:sz w:val="20"/>
                <w:szCs w:val="20"/>
              </w:rPr>
              <w:t>1.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votar en forma separa el capítulo I.</w:t>
            </w:r>
          </w:p>
        </w:tc>
        <w:tc>
          <w:tcPr>
            <w:tcW w:w="4280" w:type="dxa"/>
          </w:tcPr>
          <w:p w14:paraId="3663DC8B" w14:textId="77777777" w:rsidR="00D6385F" w:rsidRPr="005C10E0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85F" w:rsidRPr="008C072A" w14:paraId="1C2C7F37" w14:textId="301099D9" w:rsidTr="00D6385F">
        <w:trPr>
          <w:trHeight w:val="1175"/>
        </w:trPr>
        <w:tc>
          <w:tcPr>
            <w:tcW w:w="3859" w:type="dxa"/>
          </w:tcPr>
          <w:p w14:paraId="2CC0B736" w14:textId="77777777" w:rsidR="00D6385F" w:rsidRPr="00DD1531" w:rsidRDefault="00D6385F" w:rsidP="00BB0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14:paraId="0949A0F9" w14:textId="77777777" w:rsidR="00D6385F" w:rsidRPr="00AD59D7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6FF4C8D" w14:textId="77777777" w:rsidR="00D6385F" w:rsidRDefault="00D6385F" w:rsidP="005C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2891BE" w14:textId="77777777" w:rsidR="00D6385F" w:rsidRDefault="00D6385F" w:rsidP="005C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6BFBAA" w14:textId="77777777" w:rsidR="00D6385F" w:rsidRDefault="00D6385F" w:rsidP="005C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FA78E" w14:textId="77777777" w:rsidR="00D6385F" w:rsidRPr="005C10E0" w:rsidRDefault="00D6385F" w:rsidP="005C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9D7">
              <w:rPr>
                <w:rFonts w:ascii="Arial" w:hAnsi="Arial" w:cs="Arial"/>
                <w:sz w:val="20"/>
                <w:szCs w:val="20"/>
              </w:rPr>
              <w:t>“</w:t>
            </w:r>
            <w:r w:rsidRPr="005C10E0">
              <w:rPr>
                <w:rFonts w:ascii="Arial" w:hAnsi="Arial" w:cs="Arial"/>
                <w:sz w:val="20"/>
                <w:szCs w:val="20"/>
              </w:rPr>
              <w:t>Artículo 1.- Objetivos de la ley. La presente ley tiene los siguientes objetivos:</w:t>
            </w:r>
          </w:p>
          <w:p w14:paraId="0F8BEB73" w14:textId="77777777" w:rsidR="00D6385F" w:rsidRPr="005C10E0" w:rsidRDefault="00D6385F" w:rsidP="005C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44DCF" w14:textId="77777777" w:rsidR="00D6385F" w:rsidRPr="005C10E0" w:rsidRDefault="00D6385F" w:rsidP="005C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0E0">
              <w:rPr>
                <w:rFonts w:ascii="Arial" w:hAnsi="Arial" w:cs="Arial"/>
                <w:sz w:val="20"/>
                <w:szCs w:val="20"/>
              </w:rPr>
              <w:t>a)</w:t>
            </w:r>
            <w:r w:rsidRPr="005C10E0">
              <w:rPr>
                <w:rFonts w:ascii="Arial" w:hAnsi="Arial" w:cs="Arial"/>
                <w:sz w:val="20"/>
                <w:szCs w:val="20"/>
              </w:rPr>
              <w:tab/>
              <w:t>Garantizar un entorno seguro y propicio en el que las personas, grupos y organizaciones que promueven y defienden los derechos humanos en asuntos ambientales puedan actuar sin amenazas, restricciones e inseguridades.</w:t>
            </w:r>
          </w:p>
          <w:p w14:paraId="3CB9A610" w14:textId="77777777" w:rsidR="00D6385F" w:rsidRPr="005C10E0" w:rsidRDefault="00D6385F" w:rsidP="005C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0E0">
              <w:rPr>
                <w:rFonts w:ascii="Arial" w:hAnsi="Arial" w:cs="Arial"/>
                <w:sz w:val="20"/>
                <w:szCs w:val="20"/>
              </w:rPr>
              <w:t>b)</w:t>
            </w:r>
            <w:r w:rsidRPr="005C10E0">
              <w:rPr>
                <w:rFonts w:ascii="Arial" w:hAnsi="Arial" w:cs="Arial"/>
                <w:sz w:val="20"/>
                <w:szCs w:val="20"/>
              </w:rPr>
              <w:tab/>
              <w:t>Reconocer, respetar, proteger y promover los derechos humanos y las libertades fundamentales de las personas que, de forma individual o colectiva, promueven la vigencia de los derechos humanos en asuntos ambientales y la protección de la naturaleza, tanto a nivel nacional como internacional.</w:t>
            </w:r>
          </w:p>
          <w:p w14:paraId="39247F91" w14:textId="77777777" w:rsidR="00D6385F" w:rsidRPr="005C10E0" w:rsidRDefault="00D6385F" w:rsidP="005C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0E0">
              <w:rPr>
                <w:rFonts w:ascii="Arial" w:hAnsi="Arial" w:cs="Arial"/>
                <w:sz w:val="20"/>
                <w:szCs w:val="20"/>
              </w:rPr>
              <w:t>c)</w:t>
            </w:r>
            <w:r w:rsidRPr="005C10E0">
              <w:rPr>
                <w:rFonts w:ascii="Arial" w:hAnsi="Arial" w:cs="Arial"/>
                <w:sz w:val="20"/>
                <w:szCs w:val="20"/>
              </w:rPr>
              <w:tab/>
              <w:t>Establecer un marco normativo que contenga mecanismos adecuados y efectivos para la protección de defensores de los derechos humanos en asuntos ambientales y de la naturaleza, entre los que se incluyan medidas preventivas y una reacción oportuna frente a vulneraciones de sus derechos.</w:t>
            </w:r>
          </w:p>
          <w:p w14:paraId="78164F3D" w14:textId="483EA9A7" w:rsidR="00D6385F" w:rsidRDefault="00D6385F" w:rsidP="005C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0E0">
              <w:rPr>
                <w:rFonts w:ascii="Arial" w:hAnsi="Arial" w:cs="Arial"/>
                <w:sz w:val="20"/>
                <w:szCs w:val="20"/>
              </w:rPr>
              <w:t>d)</w:t>
            </w:r>
            <w:r w:rsidRPr="005C10E0">
              <w:rPr>
                <w:rFonts w:ascii="Arial" w:hAnsi="Arial" w:cs="Arial"/>
                <w:sz w:val="20"/>
                <w:szCs w:val="20"/>
              </w:rPr>
              <w:tab/>
              <w:t xml:space="preserve">Afirmar el compromiso del Estado de Chile con la implementación y cumplimiento de las declaraciones, tratados, convenciones y otros instrumentos, tanto de derecho interno como </w:t>
            </w:r>
            <w:r w:rsidRPr="005C10E0">
              <w:rPr>
                <w:rFonts w:ascii="Arial" w:hAnsi="Arial" w:cs="Arial"/>
                <w:sz w:val="20"/>
                <w:szCs w:val="20"/>
              </w:rPr>
              <w:lastRenderedPageBreak/>
              <w:t>internacional, relacionados con los derechos humanos y la protección del medio ambiente.</w:t>
            </w:r>
          </w:p>
        </w:tc>
        <w:tc>
          <w:tcPr>
            <w:tcW w:w="4485" w:type="dxa"/>
          </w:tcPr>
          <w:p w14:paraId="53D2749F" w14:textId="77777777" w:rsidR="00D6385F" w:rsidRDefault="00D6385F" w:rsidP="005F0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62772B" w14:textId="6E9CCEDB" w:rsidR="00D6385F" w:rsidRDefault="00D6385F" w:rsidP="00B76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B7613C">
              <w:rPr>
                <w:rFonts w:ascii="Arial" w:hAnsi="Arial" w:cs="Arial"/>
                <w:b/>
                <w:sz w:val="20"/>
                <w:szCs w:val="20"/>
              </w:rPr>
              <w:t>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reemplazar el artículo 1, por el siguiente:</w:t>
            </w:r>
          </w:p>
          <w:p w14:paraId="0FD27658" w14:textId="77777777" w:rsidR="00D6385F" w:rsidRPr="00B7613C" w:rsidRDefault="00D6385F" w:rsidP="00B761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68CFE" w14:textId="72827320" w:rsidR="00D6385F" w:rsidRPr="00B7613C" w:rsidRDefault="00D6385F" w:rsidP="00B76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613C">
              <w:rPr>
                <w:rFonts w:ascii="Arial" w:hAnsi="Arial" w:cs="Arial"/>
                <w:sz w:val="20"/>
                <w:szCs w:val="20"/>
              </w:rPr>
              <w:t>“</w:t>
            </w:r>
            <w:r w:rsidRPr="00B7613C">
              <w:rPr>
                <w:rFonts w:ascii="Arial" w:hAnsi="Arial" w:cs="Arial"/>
                <w:bCs/>
                <w:sz w:val="20"/>
                <w:szCs w:val="20"/>
              </w:rPr>
              <w:t>Artículo 1.- Objetivos de la ley.</w:t>
            </w:r>
            <w:r w:rsidRPr="00B7613C">
              <w:rPr>
                <w:rFonts w:ascii="Arial" w:hAnsi="Arial" w:cs="Arial"/>
                <w:sz w:val="20"/>
                <w:szCs w:val="20"/>
              </w:rPr>
              <w:t xml:space="preserve"> La presente ley tiene los siguientes objetivos: </w:t>
            </w:r>
          </w:p>
          <w:p w14:paraId="47ABB973" w14:textId="77777777" w:rsidR="00D6385F" w:rsidRPr="00B7613C" w:rsidRDefault="00D6385F" w:rsidP="00B76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F64E11" w14:textId="77777777" w:rsidR="00D6385F" w:rsidRPr="00B7613C" w:rsidRDefault="00D6385F" w:rsidP="00B76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13C">
              <w:rPr>
                <w:rFonts w:ascii="Arial" w:hAnsi="Arial" w:cs="Arial"/>
                <w:sz w:val="20"/>
                <w:szCs w:val="20"/>
              </w:rPr>
              <w:t>a) Garantizar progresivamente un entorno seguro y propicio en el que las personas que, individual o colectivamente, promueven y protegen los derechos humanos en asuntos ambientales puedan actuar sin amenazas o vulneración a su vida, seguridad o integridad personal.</w:t>
            </w:r>
          </w:p>
          <w:p w14:paraId="011D9B20" w14:textId="77777777" w:rsidR="00D6385F" w:rsidRPr="00B7613C" w:rsidRDefault="00D6385F" w:rsidP="00B76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13C">
              <w:rPr>
                <w:rFonts w:ascii="Arial" w:hAnsi="Arial" w:cs="Arial"/>
                <w:sz w:val="20"/>
                <w:szCs w:val="20"/>
              </w:rPr>
              <w:t>b) Reconocer, respetar, proteger y promover los derechos humanos y las libertades fundamentales de las personas que, de forma individual o colectiva, promueven la protección del medio ambiente.</w:t>
            </w:r>
          </w:p>
          <w:p w14:paraId="67D4CFE6" w14:textId="77777777" w:rsidR="00D6385F" w:rsidRPr="00B7613C" w:rsidRDefault="00D6385F" w:rsidP="00B76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88A03" w14:textId="77777777" w:rsidR="00D6385F" w:rsidRPr="00B7613C" w:rsidRDefault="00D6385F" w:rsidP="00B76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13C">
              <w:rPr>
                <w:rFonts w:ascii="Arial" w:hAnsi="Arial" w:cs="Arial"/>
                <w:sz w:val="20"/>
                <w:szCs w:val="20"/>
              </w:rPr>
              <w:t>c) Establecer un marco normativo que propenda al desarrollo e implementación de mecanismos adecuados y efectivos para la protección de las personas defensoras de los derechos humanos en asuntos ambientales, entre los que se incluyan medidas preventivas y reactivas en caso de vulneración y/o amenaza de sus derechos.</w:t>
            </w:r>
          </w:p>
          <w:p w14:paraId="16138A21" w14:textId="77777777" w:rsidR="00D6385F" w:rsidRPr="00B7613C" w:rsidRDefault="00D6385F" w:rsidP="00B76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A6E331" w14:textId="77777777" w:rsidR="00D6385F" w:rsidRPr="00B7613C" w:rsidRDefault="00D6385F" w:rsidP="00B76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13C">
              <w:rPr>
                <w:rFonts w:ascii="Arial" w:hAnsi="Arial" w:cs="Arial"/>
                <w:sz w:val="20"/>
                <w:szCs w:val="20"/>
              </w:rPr>
              <w:lastRenderedPageBreak/>
              <w:t>d)</w:t>
            </w:r>
            <w:r w:rsidRPr="00B7613C">
              <w:rPr>
                <w:rFonts w:ascii="Arial" w:hAnsi="Arial" w:cs="Arial"/>
                <w:sz w:val="20"/>
                <w:szCs w:val="20"/>
              </w:rPr>
              <w:tab/>
              <w:t>Adecuar, conforme al artículo 2 de la Convención Americana de Derechos Humanos, la legislación interna a las obligaciones contenidas en los tratados internacionales sobre promoción y protección del medioambiente ratificados por Chile y que se encuentren vigentes, especialmente aquellos contenidos en el Acuerdo Regional sobre el Acceso a la Información, la Participación Pública y el Acceso a la Justicia en Asuntos Ambientales en América Latina y el Caribe.”.</w:t>
            </w:r>
          </w:p>
          <w:p w14:paraId="64368F83" w14:textId="2982CF56" w:rsidR="00D6385F" w:rsidRDefault="00D6385F" w:rsidP="005F0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14:paraId="407E57D1" w14:textId="15DEB443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lastRenderedPageBreak/>
              <w:t>1. Del diputado González para reemplazar el artículo 1 por el siguiente</w:t>
            </w:r>
            <w:r w:rsidRPr="00D6385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FBC21E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AF7CC" w14:textId="32FE786B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sz w:val="20"/>
                <w:szCs w:val="20"/>
              </w:rPr>
              <w:t>“Artículo 1. Objetivo de la ley. La presente ley tiene por objeto proteger y promover los derechos de los defensores de los derechos humanos en asuntos ambientales que les son reconocidos en la Constitución Política de la República, en Acuerdo Regional sobre el Acceso a la Información, la Participación Pública y el Acceso a la Justicia en Asuntos Ambientales en América Latina y el Caribe, en los demás tratados internacionales de derechos humanos ratificados por Chile que se encuentren vigentes y en las leyes, mediante el establecimiento de mecanismos adecuados y efectivos.”</w:t>
            </w:r>
            <w:r w:rsidR="001F260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F2609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1F260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385F" w:rsidRPr="008C072A" w14:paraId="51433ED7" w14:textId="5C30F80B" w:rsidTr="00D6385F">
        <w:trPr>
          <w:trHeight w:val="1175"/>
        </w:trPr>
        <w:tc>
          <w:tcPr>
            <w:tcW w:w="3859" w:type="dxa"/>
          </w:tcPr>
          <w:p w14:paraId="721926A9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ED1EC0" w14:textId="77777777" w:rsidR="00D6385F" w:rsidRPr="00DD1531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28C1813F" w14:textId="77777777" w:rsidR="00D6385F" w:rsidRDefault="00D6385F" w:rsidP="009B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AC18E" w14:textId="77777777" w:rsidR="004D038D" w:rsidRDefault="004D038D" w:rsidP="009B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B3877" w14:textId="45A797EF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Artículo 2.- Definiciones. Para los efectos de esta ley, se entenderá por:</w:t>
            </w:r>
          </w:p>
          <w:p w14:paraId="5E720FE9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D93FF3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a)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Defensores de derechos humanos en asuntos ambientales: personas, grupos u organizaciones que desempeñan labores de promoción y/o defensa de derechos humanos en asuntos ambientales y de protección de la naturaleza.</w:t>
            </w:r>
          </w:p>
          <w:p w14:paraId="2177331B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b)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Derechos humanos en asuntos ambientales: todas aquellas obligaciones de derechos humanos relacionadas con el disfrute de un medio ambiente sin riesgos, limpio, saludable y sostenible.</w:t>
            </w:r>
          </w:p>
          <w:p w14:paraId="74F066E0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c)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Agresiones: Cualquier acción u omisión que atente contra la vida, integridad física, psíquica y sexual de los defensores de derechos humanos en asuntos ambientales, así como también cualquier acción u omisión que atente contra las libertades de defensores de derechos humanos en asuntos ambientales.</w:t>
            </w:r>
          </w:p>
          <w:p w14:paraId="036BC058" w14:textId="5935B2FB" w:rsidR="00D6385F" w:rsidRPr="00AD59D7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C8E53" w14:textId="77777777" w:rsidR="00D6385F" w:rsidRDefault="00D6385F" w:rsidP="009B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ECFFFD" w14:textId="77777777" w:rsidR="00D6385F" w:rsidRDefault="00D6385F" w:rsidP="00AF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A5BB69D" w14:textId="3C7DD332" w:rsidR="00D6385F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Pr="000256EB">
              <w:rPr>
                <w:rFonts w:ascii="Arial" w:hAnsi="Arial" w:cs="Arial"/>
                <w:b/>
                <w:sz w:val="20"/>
                <w:szCs w:val="20"/>
              </w:rPr>
              <w:t>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reemplazar el artículo 2, por el siguiente:</w:t>
            </w:r>
          </w:p>
          <w:p w14:paraId="74FBE959" w14:textId="77777777" w:rsidR="004D038D" w:rsidRPr="000256EB" w:rsidRDefault="004D038D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794EC4" w14:textId="774E1558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256EB">
              <w:rPr>
                <w:rFonts w:ascii="Arial" w:hAnsi="Arial" w:cs="Arial"/>
                <w:sz w:val="20"/>
                <w:szCs w:val="20"/>
              </w:rPr>
              <w:t>“Artículo 2.- Definiciones. Para los efectos de esta ley se entenderá por:</w:t>
            </w:r>
          </w:p>
          <w:p w14:paraId="77CFBC12" w14:textId="77777777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6EFCF1" w14:textId="77777777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6EB">
              <w:rPr>
                <w:rFonts w:ascii="Arial" w:hAnsi="Arial" w:cs="Arial"/>
                <w:sz w:val="20"/>
                <w:szCs w:val="20"/>
              </w:rPr>
              <w:t>a) Agresión: cualquier ataque, amenaza, o intimidación que sufran las personas defensoras de derechos humanos en asuntos ambientales como consecuencia del ejercicio de su labor de promoción y protección.</w:t>
            </w:r>
          </w:p>
          <w:p w14:paraId="77EA93DF" w14:textId="77777777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37C89F" w14:textId="77777777" w:rsidR="00D6385F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6EB">
              <w:rPr>
                <w:rFonts w:ascii="Arial" w:hAnsi="Arial" w:cs="Arial"/>
                <w:sz w:val="20"/>
                <w:szCs w:val="20"/>
              </w:rPr>
              <w:t>b) Derechos humanos en asuntos ambientales: todos aquellos derechos relacionados con el disfrute de un medio ambiente libre de contaminación.</w:t>
            </w:r>
          </w:p>
          <w:p w14:paraId="4B801B5C" w14:textId="77777777" w:rsidR="004D038D" w:rsidRPr="000256EB" w:rsidRDefault="004D038D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86A48" w14:textId="77777777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6EB">
              <w:rPr>
                <w:rFonts w:ascii="Arial" w:hAnsi="Arial" w:cs="Arial"/>
                <w:sz w:val="20"/>
                <w:szCs w:val="20"/>
              </w:rPr>
              <w:t xml:space="preserve">c) Entorno seguro y propicio: es aquel donde las personas, individual o colectivamente, pueden actuar sin ningún tipo de amenazas, privaciones o perturbaciones ilegítimas en razón de la defensa de derechos humanos en asuntos </w:t>
            </w:r>
            <w:r w:rsidRPr="000256EB">
              <w:rPr>
                <w:rFonts w:ascii="Arial" w:hAnsi="Arial" w:cs="Arial"/>
                <w:sz w:val="20"/>
                <w:szCs w:val="20"/>
              </w:rPr>
              <w:lastRenderedPageBreak/>
              <w:t>ambientales, y se les valore y apoye en su labor de promoción y protección.</w:t>
            </w:r>
          </w:p>
          <w:p w14:paraId="23B22300" w14:textId="77777777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F57E7C" w14:textId="77777777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6EB">
              <w:rPr>
                <w:rFonts w:ascii="Arial" w:hAnsi="Arial" w:cs="Arial"/>
                <w:sz w:val="20"/>
                <w:szCs w:val="20"/>
              </w:rPr>
              <w:t>d) Medidas de prevención: conjunto de acciones tendientes a evitar, reducir o eliminar los factores de riesgo que favorecen los ataques, amenazas o intimidaciones contra personas defensoras de derechos humanos en asuntos ambientales, así como para combatir las causas que las producen.</w:t>
            </w:r>
          </w:p>
          <w:p w14:paraId="7C021975" w14:textId="77777777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97A978" w14:textId="77777777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6EB">
              <w:rPr>
                <w:rFonts w:ascii="Arial" w:hAnsi="Arial" w:cs="Arial"/>
                <w:sz w:val="20"/>
                <w:szCs w:val="20"/>
              </w:rPr>
              <w:t>e) Medidas de protección: conjunto de acciones destinadas a asegurar investigaciones de acuerdo con los principios de la debida diligencia y a establecer mecanismos de reparación para las personas defensoras en asuntos ambientales cuyos derechos hubieren sido amenazados o vulnerados.</w:t>
            </w:r>
          </w:p>
          <w:p w14:paraId="104D4620" w14:textId="77777777" w:rsidR="00D6385F" w:rsidRPr="000256EB" w:rsidRDefault="00D6385F" w:rsidP="0002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A35D67" w14:textId="5D03745F" w:rsidR="00D6385F" w:rsidRDefault="00D6385F" w:rsidP="00072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6EB">
              <w:rPr>
                <w:rFonts w:ascii="Arial" w:hAnsi="Arial" w:cs="Arial"/>
                <w:sz w:val="20"/>
                <w:szCs w:val="20"/>
              </w:rPr>
              <w:t>f) Personas defensoras de derechos humanos en asuntos ambientales: personas que, por medios pacíficos y lícitos, individual o colectivamente, desempeñan labores de promoción y protección del medio ambiente.”.</w:t>
            </w:r>
          </w:p>
        </w:tc>
        <w:tc>
          <w:tcPr>
            <w:tcW w:w="4280" w:type="dxa"/>
          </w:tcPr>
          <w:p w14:paraId="244EE39A" w14:textId="77777777" w:rsidR="00D6385F" w:rsidRDefault="00D6385F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E4D1C" w14:textId="77777777" w:rsidR="00D6385F" w:rsidRDefault="00D6385F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0ED8E" w14:textId="77777777" w:rsidR="00D6385F" w:rsidRDefault="00D6385F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65E3E" w14:textId="77777777" w:rsidR="00D6385F" w:rsidRDefault="00D6385F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53A9F" w14:textId="3BD9AC81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>2. Del diputado González</w:t>
            </w:r>
            <w:r w:rsidRPr="00D6385F">
              <w:rPr>
                <w:rFonts w:ascii="Arial" w:hAnsi="Arial" w:cs="Arial"/>
                <w:sz w:val="20"/>
                <w:szCs w:val="20"/>
              </w:rPr>
              <w:t xml:space="preserve"> para reemplazar en el literal a) del artículo 2, la expresión “y/o” por la conjunción “o”.</w:t>
            </w:r>
            <w:r w:rsidR="001F2609">
              <w:rPr>
                <w:rFonts w:ascii="Arial" w:hAnsi="Arial" w:cs="Arial"/>
                <w:sz w:val="20"/>
                <w:szCs w:val="20"/>
              </w:rPr>
              <w:t xml:space="preserve"> (re)</w:t>
            </w:r>
          </w:p>
          <w:p w14:paraId="0AA6D509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763A1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>3. Del diputado González</w:t>
            </w:r>
            <w:r w:rsidRPr="00D6385F">
              <w:rPr>
                <w:rFonts w:ascii="Arial" w:hAnsi="Arial" w:cs="Arial"/>
                <w:sz w:val="20"/>
                <w:szCs w:val="20"/>
              </w:rPr>
              <w:t xml:space="preserve"> para reemplazar el literal b) del artículo 2, por el siguiente: </w:t>
            </w:r>
          </w:p>
          <w:p w14:paraId="76C5FB84" w14:textId="439C287B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sz w:val="20"/>
                <w:szCs w:val="20"/>
              </w:rPr>
              <w:t xml:space="preserve">   “b) Derechos humanos en asuntos ambientales: todos aquellos derechos humanos relacionados con el disfrute de un medio ambiente sin riesgos, limpio, saludable y sostenible.”</w:t>
            </w:r>
            <w:r w:rsidR="001F260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F2609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1F26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B5B65D" w14:textId="28BBAC34" w:rsidR="00D6385F" w:rsidRDefault="001F2609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21DE08" w14:textId="77777777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FC75A" w14:textId="77777777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F977F" w14:textId="77777777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83A7C5" w14:textId="77777777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C81918" w14:textId="77777777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79EE18" w14:textId="77777777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51369" w14:textId="77777777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37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 De la diputada </w:t>
            </w:r>
            <w:proofErr w:type="spellStart"/>
            <w:r w:rsidRPr="0007237B">
              <w:rPr>
                <w:rFonts w:ascii="Arial" w:hAnsi="Arial" w:cs="Arial"/>
                <w:b/>
                <w:sz w:val="20"/>
                <w:szCs w:val="20"/>
              </w:rPr>
              <w:t>Sagardía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07237B">
              <w:rPr>
                <w:rFonts w:ascii="Arial" w:hAnsi="Arial" w:cs="Arial"/>
                <w:sz w:val="20"/>
                <w:szCs w:val="20"/>
              </w:rPr>
              <w:t>ara agregar en el artículo 2°, un nuevo literal d), en el siguiente sentido.</w:t>
            </w:r>
          </w:p>
          <w:p w14:paraId="6D265438" w14:textId="77777777" w:rsidR="00D6385F" w:rsidRPr="0007237B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AFBCA6" w14:textId="2A9BCF5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7237B">
              <w:rPr>
                <w:rFonts w:ascii="Arial" w:hAnsi="Arial" w:cs="Arial"/>
                <w:sz w:val="20"/>
                <w:szCs w:val="20"/>
              </w:rPr>
              <w:t>) Entorno seguro: Es aquel en donde personas, grupos u org</w:t>
            </w:r>
            <w:r>
              <w:rPr>
                <w:rFonts w:ascii="Arial" w:hAnsi="Arial" w:cs="Arial"/>
                <w:sz w:val="20"/>
                <w:szCs w:val="20"/>
              </w:rPr>
              <w:t xml:space="preserve">anizaciones, actúan sin ningún </w:t>
            </w:r>
            <w:r w:rsidRPr="0007237B">
              <w:rPr>
                <w:rFonts w:ascii="Arial" w:hAnsi="Arial" w:cs="Arial"/>
                <w:sz w:val="20"/>
                <w:szCs w:val="20"/>
              </w:rPr>
              <w:t>tipo de amenazas, restricciones, perturbación o vulneración y/o amenazas</w:t>
            </w:r>
            <w:r>
              <w:rPr>
                <w:rFonts w:ascii="Arial" w:hAnsi="Arial" w:cs="Arial"/>
                <w:sz w:val="20"/>
                <w:szCs w:val="20"/>
              </w:rPr>
              <w:t xml:space="preserve">, en razón de la </w:t>
            </w:r>
            <w:r w:rsidRPr="0007237B">
              <w:rPr>
                <w:rFonts w:ascii="Arial" w:hAnsi="Arial" w:cs="Arial"/>
                <w:sz w:val="20"/>
                <w:szCs w:val="20"/>
              </w:rPr>
              <w:t>defensa de derechos humanos en asuntos de medio ambiente.</w:t>
            </w:r>
            <w:r w:rsidR="001F260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F2609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1F26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A89AE8" w14:textId="77777777" w:rsidR="00D6385F" w:rsidRPr="005F0E0A" w:rsidRDefault="00D6385F" w:rsidP="005F0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85F" w:rsidRPr="008C072A" w14:paraId="367DAB78" w14:textId="284B991D" w:rsidTr="00D6385F">
        <w:trPr>
          <w:trHeight w:val="1175"/>
        </w:trPr>
        <w:tc>
          <w:tcPr>
            <w:tcW w:w="3859" w:type="dxa"/>
          </w:tcPr>
          <w:p w14:paraId="1BCE92DA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EE47961" w14:textId="77777777" w:rsidR="00D6385F" w:rsidRDefault="00D6385F" w:rsidP="00355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A669CC" w14:textId="77777777" w:rsidR="004D038D" w:rsidRDefault="004D038D" w:rsidP="00355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3574A0" w14:textId="77777777" w:rsidR="004D038D" w:rsidRDefault="004D038D" w:rsidP="00355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8FD65D" w14:textId="463E0CD4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9D7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BB0654">
              <w:rPr>
                <w:rFonts w:ascii="Arial" w:hAnsi="Arial" w:cs="Arial"/>
                <w:sz w:val="20"/>
                <w:szCs w:val="20"/>
              </w:rPr>
              <w:t>3.- Principios. Los siguientes principios guiarán la interpretación e implementación de la presente ley:</w:t>
            </w:r>
          </w:p>
          <w:p w14:paraId="421FAF1D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a)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de igualdad y principio de no discriminación;</w:t>
            </w:r>
          </w:p>
          <w:p w14:paraId="548DB2CB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10E59E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b)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transparencia y principio de rendición de cuentas;</w:t>
            </w:r>
          </w:p>
          <w:p w14:paraId="3245D05E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76431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c)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de no regresión y principio de progresividad;</w:t>
            </w:r>
          </w:p>
          <w:p w14:paraId="22AB6E90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BD5E16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d)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de buena fe;</w:t>
            </w:r>
          </w:p>
          <w:p w14:paraId="6CCF2850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A7959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e)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preventivo;</w:t>
            </w:r>
          </w:p>
          <w:p w14:paraId="5E1E47F0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BA9EA6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f)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precautorio;</w:t>
            </w:r>
          </w:p>
          <w:p w14:paraId="746525AF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63B38B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g)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de equidad intergeneracional;</w:t>
            </w:r>
          </w:p>
          <w:p w14:paraId="76EBB6D5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D1F354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h)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de máxima publicidad;</w:t>
            </w:r>
          </w:p>
          <w:p w14:paraId="5070B15C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0FA14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i)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pro persona;</w:t>
            </w:r>
          </w:p>
          <w:p w14:paraId="53969B12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7D828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j)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de solidaridad;</w:t>
            </w:r>
          </w:p>
          <w:p w14:paraId="34BC4F79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19FBC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k)</w:t>
            </w:r>
            <w:r w:rsidRPr="00BB0654">
              <w:rPr>
                <w:rFonts w:ascii="Arial" w:hAnsi="Arial" w:cs="Arial"/>
                <w:sz w:val="20"/>
                <w:szCs w:val="20"/>
              </w:rPr>
              <w:tab/>
              <w:t>Principio de participación;</w:t>
            </w:r>
          </w:p>
          <w:p w14:paraId="6B99D3C6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EFE13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h) Principio de coordinación y eficacia.</w:t>
            </w:r>
          </w:p>
          <w:p w14:paraId="3BA25B66" w14:textId="075E430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684E2F7" w14:textId="4AA1CB1A" w:rsidR="00D6385F" w:rsidRPr="00F049CC" w:rsidRDefault="00D6385F" w:rsidP="00F04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 Del Ejecutivo </w:t>
            </w:r>
            <w:r>
              <w:rPr>
                <w:rFonts w:ascii="Arial" w:hAnsi="Arial" w:cs="Arial"/>
                <w:sz w:val="20"/>
                <w:szCs w:val="20"/>
              </w:rPr>
              <w:t>para reemplazar el artículo 3</w:t>
            </w:r>
            <w:r w:rsidRPr="00F049CC">
              <w:rPr>
                <w:rFonts w:ascii="Arial" w:hAnsi="Arial" w:cs="Arial"/>
                <w:sz w:val="20"/>
                <w:szCs w:val="20"/>
              </w:rPr>
              <w:t xml:space="preserve"> por el siguiente:</w:t>
            </w:r>
          </w:p>
          <w:p w14:paraId="7994AA8E" w14:textId="77777777" w:rsidR="00D6385F" w:rsidRDefault="00D6385F" w:rsidP="00F04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03F7DF" w14:textId="61E35EE9" w:rsidR="00D6385F" w:rsidRPr="00F049CC" w:rsidRDefault="00D6385F" w:rsidP="00F04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049CC">
              <w:rPr>
                <w:rFonts w:ascii="Arial" w:hAnsi="Arial" w:cs="Arial"/>
                <w:sz w:val="20"/>
                <w:szCs w:val="20"/>
              </w:rPr>
              <w:t xml:space="preserve">“Artículo 3.- Derecho a la promoción y defensa del medio ambiente en entornos seguros. Toda persona tiene derecho a desempeñar labores de promoción y defensa del medio ambiente en un entorno seguro y propicio, libre de toda amenaza o restricción ilegítima, de acuerdo con lo establecido en la Constitución Política de la República y los tratados internacionales de </w:t>
            </w:r>
            <w:r w:rsidRPr="00F049CC">
              <w:rPr>
                <w:rFonts w:ascii="Arial" w:hAnsi="Arial" w:cs="Arial"/>
                <w:sz w:val="20"/>
                <w:szCs w:val="20"/>
              </w:rPr>
              <w:lastRenderedPageBreak/>
              <w:t>derechos humanos ratificados por Chile y que se encuentren vigentes.”.</w:t>
            </w:r>
          </w:p>
          <w:p w14:paraId="5E993471" w14:textId="1916CBC2" w:rsidR="00D6385F" w:rsidRPr="00F049CC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14:paraId="773DB769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85F" w:rsidRPr="008C072A" w14:paraId="6731FCB5" w14:textId="15B23B19" w:rsidTr="00D6385F">
        <w:trPr>
          <w:trHeight w:val="1175"/>
        </w:trPr>
        <w:tc>
          <w:tcPr>
            <w:tcW w:w="3859" w:type="dxa"/>
          </w:tcPr>
          <w:p w14:paraId="0E27DAF6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2A07C3F8" w14:textId="77777777" w:rsidR="00D6385F" w:rsidRPr="00355131" w:rsidRDefault="00D6385F" w:rsidP="00355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1EDA4C" w14:textId="08C7FCD7" w:rsidR="00D6385F" w:rsidRPr="004D038D" w:rsidRDefault="00D6385F" w:rsidP="00BB065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BB0654">
              <w:rPr>
                <w:rFonts w:ascii="Arial" w:hAnsi="Arial" w:cs="Arial"/>
                <w:bCs/>
                <w:sz w:val="20"/>
                <w:szCs w:val="20"/>
                <w:lang w:val="es-ES"/>
              </w:rPr>
              <w:t>Capítulo II: Derechos reconocidos por esta ley</w:t>
            </w:r>
          </w:p>
          <w:p w14:paraId="67A9518D" w14:textId="77777777" w:rsidR="00D6385F" w:rsidRPr="00BB0654" w:rsidRDefault="00D6385F" w:rsidP="00BB065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Se reconocen de manera no taxativa los siguientes derechos a defensores de derechos humanos en asuntos ambientales:</w:t>
            </w:r>
          </w:p>
          <w:p w14:paraId="6AE399DC" w14:textId="77777777" w:rsidR="00D6385F" w:rsidRPr="00AD59D7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A35623" w14:textId="77777777" w:rsidR="00D6385F" w:rsidRPr="00BB0654" w:rsidRDefault="00D6385F" w:rsidP="00BB0654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AD59D7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B0654">
              <w:rPr>
                <w:rFonts w:ascii="Arial" w:hAnsi="Arial" w:cs="Arial"/>
                <w:bCs/>
                <w:sz w:val="20"/>
                <w:szCs w:val="20"/>
                <w:lang w:val="es-ES"/>
              </w:rPr>
              <w:t>Artículo 4.-</w:t>
            </w:r>
            <w:r w:rsidRPr="00BB065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BB0654">
              <w:rPr>
                <w:rFonts w:ascii="Arial" w:hAnsi="Arial" w:cs="Arial"/>
                <w:bCs/>
                <w:sz w:val="20"/>
                <w:szCs w:val="20"/>
                <w:lang w:val="es-ES"/>
              </w:rPr>
              <w:t>Derecho a la defensa del medio ambiente en entornos seguros y libres de violencia. Toda persona tiene derecho, de forma individual o colectiva, a desempeñar labores de defensa del medio ambiente en un entorno seguro y propicio para ello, libre de toda violencia, agresión o amenaza.</w:t>
            </w:r>
          </w:p>
          <w:p w14:paraId="7E6FE291" w14:textId="08AFE45C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691BDC5E" w14:textId="75F4A03D" w:rsidR="00D6385F" w:rsidRDefault="00D6385F" w:rsidP="00F04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Pr="00F049CC">
              <w:rPr>
                <w:rFonts w:ascii="Arial" w:hAnsi="Arial" w:cs="Arial"/>
                <w:b/>
                <w:sz w:val="20"/>
                <w:szCs w:val="20"/>
              </w:rPr>
              <w:t>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votar en forma separada el epígrafe del Capítulo II.</w:t>
            </w:r>
          </w:p>
          <w:p w14:paraId="35C32565" w14:textId="77777777" w:rsidR="00D6385F" w:rsidRDefault="00D6385F" w:rsidP="00F04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2EEEDB" w14:textId="7B3B67FE" w:rsidR="00D6385F" w:rsidRPr="00F049CC" w:rsidRDefault="00D6385F" w:rsidP="00F04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049CC">
              <w:rPr>
                <w:rFonts w:ascii="Arial" w:hAnsi="Arial" w:cs="Arial"/>
                <w:b/>
                <w:sz w:val="20"/>
                <w:szCs w:val="20"/>
              </w:rPr>
              <w:t xml:space="preserve">. Del Ejecutivo </w:t>
            </w:r>
            <w:r>
              <w:rPr>
                <w:rFonts w:ascii="Arial" w:hAnsi="Arial" w:cs="Arial"/>
                <w:sz w:val="20"/>
                <w:szCs w:val="20"/>
              </w:rPr>
              <w:t>para reemplazar el artículo 4</w:t>
            </w:r>
            <w:r w:rsidRPr="00F049CC">
              <w:rPr>
                <w:rFonts w:ascii="Arial" w:hAnsi="Arial" w:cs="Arial"/>
                <w:sz w:val="20"/>
                <w:szCs w:val="20"/>
              </w:rPr>
              <w:t xml:space="preserve"> por el siguiente:</w:t>
            </w:r>
          </w:p>
          <w:p w14:paraId="5E8E2D76" w14:textId="3B433F86" w:rsidR="00D6385F" w:rsidRPr="00F049CC" w:rsidRDefault="00D6385F" w:rsidP="00F04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049CC">
              <w:rPr>
                <w:rFonts w:ascii="Arial" w:hAnsi="Arial" w:cs="Arial"/>
                <w:sz w:val="20"/>
                <w:szCs w:val="20"/>
              </w:rPr>
              <w:t>“</w:t>
            </w:r>
            <w:r w:rsidRPr="00F049CC">
              <w:rPr>
                <w:rFonts w:ascii="Arial" w:hAnsi="Arial" w:cs="Arial"/>
                <w:bCs/>
                <w:sz w:val="20"/>
                <w:szCs w:val="20"/>
              </w:rPr>
              <w:t>Artículo 4.- Derecho a formar grupos, asociaciones y organizaciones</w:t>
            </w:r>
            <w:r w:rsidRPr="00F049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049CC">
              <w:rPr>
                <w:rFonts w:ascii="Arial" w:hAnsi="Arial" w:cs="Arial"/>
                <w:sz w:val="20"/>
                <w:szCs w:val="20"/>
              </w:rPr>
              <w:t xml:space="preserve"> Toda persona tiene el derecho de formar, unirse y participar en grupos, asociaciones y organizaciones no gubernamentales, con el fin de promover y defender los derechos humanos en asuntos ambientales, de conformidad con la normativa aplicable.”.</w:t>
            </w:r>
          </w:p>
          <w:p w14:paraId="17393525" w14:textId="77777777" w:rsidR="00D6385F" w:rsidRDefault="00D6385F" w:rsidP="005F0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4E697E" w14:textId="77777777" w:rsidR="00D6385F" w:rsidRDefault="00D6385F" w:rsidP="00BD2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14:paraId="52578D2A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lastRenderedPageBreak/>
              <w:t>5. Del diputado González</w:t>
            </w:r>
            <w:r w:rsidRPr="00D6385F">
              <w:rPr>
                <w:rFonts w:ascii="Arial" w:hAnsi="Arial" w:cs="Arial"/>
                <w:sz w:val="20"/>
                <w:szCs w:val="20"/>
              </w:rPr>
              <w:t xml:space="preserve"> para reemplazar el epígrafe del Capítulo II por el siguiente:</w:t>
            </w:r>
          </w:p>
          <w:p w14:paraId="03CF60B9" w14:textId="37C88BD1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sz w:val="20"/>
                <w:szCs w:val="20"/>
              </w:rPr>
              <w:t>“Capítulo II: “Derechos de los defensores de derechos humanos en asuntos ambientales”.”</w:t>
            </w:r>
            <w:r w:rsidR="005229E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229ED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5229E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BE523A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ACDBF6" w14:textId="1AB19D4F" w:rsidR="00953A58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>6. Del diputado González</w:t>
            </w:r>
            <w:r w:rsidR="00953A58" w:rsidRPr="00953A58">
              <w:rPr>
                <w:rFonts w:ascii="Arial" w:hAnsi="Arial" w:cs="Arial"/>
                <w:b/>
                <w:sz w:val="20"/>
                <w:szCs w:val="20"/>
              </w:rPr>
              <w:t xml:space="preserve">, Malla, </w:t>
            </w:r>
            <w:proofErr w:type="spellStart"/>
            <w:r w:rsidR="00953A58" w:rsidRPr="00953A58">
              <w:rPr>
                <w:rFonts w:ascii="Arial" w:hAnsi="Arial" w:cs="Arial"/>
                <w:b/>
                <w:sz w:val="20"/>
                <w:szCs w:val="20"/>
              </w:rPr>
              <w:t>Sagardía</w:t>
            </w:r>
            <w:proofErr w:type="spellEnd"/>
            <w:r w:rsidR="00953A58" w:rsidRPr="00953A58">
              <w:rPr>
                <w:rFonts w:ascii="Arial" w:hAnsi="Arial" w:cs="Arial"/>
                <w:b/>
                <w:sz w:val="20"/>
                <w:szCs w:val="20"/>
              </w:rPr>
              <w:t>, Araya y González</w:t>
            </w:r>
            <w:r w:rsidRPr="00D63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A58" w:rsidRPr="00953A58">
              <w:rPr>
                <w:rFonts w:ascii="Arial" w:hAnsi="Arial" w:cs="Arial"/>
                <w:sz w:val="20"/>
                <w:szCs w:val="20"/>
              </w:rPr>
              <w:t xml:space="preserve">para reemplazar los artículos 4, 5, 6 ,7, 8 y 9, por el siguiente artículo 4, nuevo: </w:t>
            </w:r>
          </w:p>
          <w:p w14:paraId="471E9805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 xml:space="preserve">“Artículo 4. Derechos. Se reconocen de manera no taxativa los siguientes derechos a </w:t>
            </w:r>
            <w:r w:rsidRPr="00953A58">
              <w:rPr>
                <w:rFonts w:ascii="Arial" w:hAnsi="Arial" w:cs="Arial"/>
                <w:sz w:val="20"/>
                <w:szCs w:val="20"/>
              </w:rPr>
              <w:lastRenderedPageBreak/>
              <w:t>defensores de derechos hu</w:t>
            </w:r>
            <w:r>
              <w:rPr>
                <w:rFonts w:ascii="Arial" w:hAnsi="Arial" w:cs="Arial"/>
                <w:sz w:val="20"/>
                <w:szCs w:val="20"/>
              </w:rPr>
              <w:t>manos en asuntos ambientales:</w:t>
            </w:r>
          </w:p>
          <w:p w14:paraId="79724233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>a) Derecho a la defensa del medio ambiente en entornos seguros y libres de violencia. Toda persona tiene derecho, de forma individual o colectiva, a desempeñar labores de defensa del medio ambiente en un entorno seguro y propicio para ello, libre de toda violencia, agresión o amenaza.</w:t>
            </w:r>
          </w:p>
          <w:p w14:paraId="2FDA02C3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A8BB72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 xml:space="preserve"> b) Derecho de acceso a la información y rendición de cuentas. Toda persona tiene derecho a solicitar y recibir información ambiental por parte de la administración del Estado y de entidades públicas y privadas cuyas acciones u omisiones afecten el medio ambiente y/o la salud humana. </w:t>
            </w:r>
          </w:p>
          <w:p w14:paraId="15551D9D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A1FB786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>c) Derecho de acceso a la participación pública. Toda persona tiene derecho a participar en cualquier etapa en los procesos de toma de decisiones en materia ambiental mediante mecanismos abiertos e inclusivos.</w:t>
            </w:r>
          </w:p>
          <w:p w14:paraId="756C4207" w14:textId="2DD09BDF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A10060C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 xml:space="preserve">Es deber del Estado promover la participación pública en la formulación de políticas y planes que puedan tener un impacto en el medio ambiente, brindando especial consideración a los grupos y personas en situación de vulnerabilidad. </w:t>
            </w:r>
          </w:p>
          <w:p w14:paraId="36F88E28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34492" w14:textId="2131448E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 xml:space="preserve">Los órganos de la administración del Estado procurarán que la participación pública en asuntos ambientales se desarrolle siempre de manera segura e informada por parte de toda </w:t>
            </w:r>
            <w:r w:rsidRPr="00953A58">
              <w:rPr>
                <w:rFonts w:ascii="Arial" w:hAnsi="Arial" w:cs="Arial"/>
                <w:sz w:val="20"/>
                <w:szCs w:val="20"/>
              </w:rPr>
              <w:lastRenderedPageBreak/>
              <w:t xml:space="preserve">la población interesada y que las opiniones y sugerencias que de ellas emanen sean debidamente consideradas por quienes deben tomar las decisiones finales. </w:t>
            </w:r>
          </w:p>
          <w:p w14:paraId="13343B13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5F4805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 xml:space="preserve">d) Derecho de fiscalización de normas y estándares medioambientales. Toda persona tiene derecho a denunciar y hacerse parte de procedimientos administrativos y judiciales frente al incumplimiento de normas ambientales. </w:t>
            </w:r>
          </w:p>
          <w:p w14:paraId="477A6420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AEE256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 xml:space="preserve">e) Derecho de comunicación y coordinación. Toda persona, individual o colectivamente, tiene derecho de comunicación y cooperación con otras organizaciones de la sociedad civil, organismos regionales y entidades internacionales, a fin de tratar asuntos relativos a la defensa de derechos humanos en asuntos ambientales y la protección de la naturaleza. Esta disposición incluye los mecanismos y organismos creados por tratados internacionales y procedimientos o relatores especiales. </w:t>
            </w:r>
          </w:p>
          <w:p w14:paraId="6EA7290F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26DB1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 xml:space="preserve">f) Derecho a la tutela judicial. Toda persona tiene derecho a ser asesorada legalmente, disponer de recursos procesales y ser protegida por medio de representación letrada, en caso de violación de los derechos establecidos en la presente ley y de cualquiera de los derechos fundamentales establecidos en la Constitución, las leyes y los tratados internacionales ratificados por Chile y que se encuentren vigentes. </w:t>
            </w:r>
          </w:p>
          <w:p w14:paraId="0B4D818C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9FDD01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 xml:space="preserve">La ley deberá establecer mecanismos para garantizar la </w:t>
            </w:r>
            <w:proofErr w:type="spellStart"/>
            <w:r w:rsidRPr="00953A58">
              <w:rPr>
                <w:rFonts w:ascii="Arial" w:hAnsi="Arial" w:cs="Arial"/>
                <w:sz w:val="20"/>
                <w:szCs w:val="20"/>
              </w:rPr>
              <w:t>contradictoriedad</w:t>
            </w:r>
            <w:proofErr w:type="spellEnd"/>
            <w:r w:rsidRPr="00953A58">
              <w:rPr>
                <w:rFonts w:ascii="Arial" w:hAnsi="Arial" w:cs="Arial"/>
                <w:sz w:val="20"/>
                <w:szCs w:val="20"/>
              </w:rPr>
              <w:t xml:space="preserve"> y la celeridad en la tramitación en los procedimientos de 10 defensores en asuntos ambientales y en aquellos vinculados con la protección de elementos ambientales. </w:t>
            </w:r>
          </w:p>
          <w:p w14:paraId="376F94B4" w14:textId="77777777" w:rsidR="00953A58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55DAD" w14:textId="57DAFEB3" w:rsidR="00D6385F" w:rsidRPr="00D6385F" w:rsidRDefault="00953A58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3A58">
              <w:rPr>
                <w:rFonts w:ascii="Arial" w:hAnsi="Arial" w:cs="Arial"/>
                <w:sz w:val="20"/>
                <w:szCs w:val="20"/>
              </w:rPr>
              <w:t>Cuando exista una denuncia con indicios suficientes de la afectación a los derechos reconocidos en esta ley, corresponderá al denunciado probar que no existe dicha vulneración.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C79130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E5890C" w14:textId="45D242A8" w:rsidR="00D6385F" w:rsidRPr="00D6385F" w:rsidRDefault="00D6385F" w:rsidP="0095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C769D9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91DC9C" w14:textId="77777777" w:rsidR="00D6385F" w:rsidRPr="005F0E0A" w:rsidRDefault="00D6385F" w:rsidP="00F04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85F" w:rsidRPr="008C072A" w14:paraId="6FF495B2" w14:textId="03C94529" w:rsidTr="00D6385F">
        <w:trPr>
          <w:trHeight w:val="1175"/>
        </w:trPr>
        <w:tc>
          <w:tcPr>
            <w:tcW w:w="3859" w:type="dxa"/>
          </w:tcPr>
          <w:p w14:paraId="03B8A85D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E1FADE2" w14:textId="77777777" w:rsidR="00D6385F" w:rsidRDefault="00D6385F" w:rsidP="003551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7509A" w14:textId="77777777" w:rsidR="00D6385F" w:rsidRDefault="00D6385F" w:rsidP="00AD59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BE236" w14:textId="77777777" w:rsidR="00D6385F" w:rsidRPr="00AD59D7" w:rsidRDefault="00D6385F" w:rsidP="00AD59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E3DD7" w14:textId="1A5F3D3D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0654">
              <w:rPr>
                <w:rFonts w:ascii="Arial" w:hAnsi="Arial" w:cs="Arial"/>
                <w:sz w:val="20"/>
                <w:szCs w:val="20"/>
              </w:rPr>
              <w:t>Artículo 5.- Derecho de acceso a la información y rendición de cuentas. Toda persona tiene derecho a solicitar y recibir información ambiental por parte de la administración del Estado y de entidades públicas y privadas cuyas acciones u omisiones afecten el medio ambiente y/o la salud humana.</w:t>
            </w:r>
          </w:p>
          <w:p w14:paraId="0C4F7F90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DD6637" w14:textId="77777777" w:rsidR="00D6385F" w:rsidRDefault="00D6385F" w:rsidP="00C51C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740F2" w14:textId="77777777" w:rsidR="00D6385F" w:rsidRDefault="00D6385F" w:rsidP="00C51C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34C25" w14:textId="77777777" w:rsidR="00D6385F" w:rsidRDefault="00D6385F" w:rsidP="00C51C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D052D" w14:textId="77777777" w:rsidR="00D6385F" w:rsidRDefault="00D6385F" w:rsidP="00C51C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C721A" w14:textId="77777777" w:rsidR="00D6385F" w:rsidRDefault="00D6385F" w:rsidP="00C51C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238B8" w14:textId="77777777" w:rsidR="00D6385F" w:rsidRDefault="00D6385F" w:rsidP="00C51C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FF5A7" w14:textId="77777777" w:rsidR="00D6385F" w:rsidRDefault="00D6385F" w:rsidP="00C51C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2BB3BCB3" w14:textId="10FAFCEE" w:rsidR="00D6385F" w:rsidRPr="00B079E3" w:rsidRDefault="00D6385F" w:rsidP="00B07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B079E3">
              <w:rPr>
                <w:rFonts w:ascii="Arial" w:hAnsi="Arial" w:cs="Arial"/>
                <w:b/>
                <w:sz w:val="20"/>
                <w:szCs w:val="20"/>
              </w:rPr>
              <w:t>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reemplazar el artículo 5,</w:t>
            </w:r>
            <w:r w:rsidRPr="00B079E3">
              <w:rPr>
                <w:rFonts w:ascii="Arial" w:hAnsi="Arial" w:cs="Arial"/>
                <w:sz w:val="20"/>
                <w:szCs w:val="20"/>
              </w:rPr>
              <w:t xml:space="preserve"> por el siguiente:</w:t>
            </w:r>
          </w:p>
          <w:p w14:paraId="295ADDD2" w14:textId="77777777" w:rsidR="00D6385F" w:rsidRPr="00B079E3" w:rsidRDefault="00D6385F" w:rsidP="00B07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7AAEE3" w14:textId="77777777" w:rsidR="00D6385F" w:rsidRDefault="00D6385F" w:rsidP="00B07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079E3">
              <w:rPr>
                <w:rFonts w:ascii="Arial" w:hAnsi="Arial" w:cs="Arial"/>
                <w:sz w:val="20"/>
                <w:szCs w:val="20"/>
              </w:rPr>
              <w:t>“Artículo 5.- Derecho a solicitar, recibir y difundir información. Toda persona tiene derecho a solicitar, recibir y difundir información ambiental que esté en poder de la administración del Estado en la forma y condiciones que establece la ley N° 20.285, sobre Acceso a la Información Pública, salvo que concurra alguna de las causales de secreto, reserva u oposición reguladas en el artículo 20 de dicha ley.”.</w:t>
            </w:r>
          </w:p>
          <w:p w14:paraId="6794284F" w14:textId="77777777" w:rsidR="00D6385F" w:rsidRDefault="00D6385F" w:rsidP="00B07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B43A1" w14:textId="77777777" w:rsidR="00D6385F" w:rsidRDefault="00D6385F" w:rsidP="00B07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E44AA" w14:textId="77777777" w:rsidR="00D6385F" w:rsidRDefault="00D6385F" w:rsidP="00B07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5D0B0B" w14:textId="77777777" w:rsidR="00D6385F" w:rsidRDefault="00D6385F" w:rsidP="00B07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3FE302" w14:textId="19503041" w:rsidR="00D6385F" w:rsidRDefault="00D6385F" w:rsidP="00B07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14:paraId="49271EF3" w14:textId="77777777" w:rsidR="00D6385F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1ECDB7" w14:textId="77777777" w:rsidR="00D6385F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6A757" w14:textId="77777777" w:rsidR="00D6385F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EEC5E" w14:textId="5D463F9E" w:rsidR="00D6385F" w:rsidRDefault="00D6385F" w:rsidP="005F0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 xml:space="preserve">7. Del diputado González </w:t>
            </w:r>
            <w:r w:rsidRPr="00D6385F">
              <w:rPr>
                <w:rFonts w:ascii="Arial" w:hAnsi="Arial" w:cs="Arial"/>
                <w:sz w:val="20"/>
                <w:szCs w:val="20"/>
              </w:rPr>
              <w:t>para reemplazar en el artículo 5, que ha pasado a ser artículo 6, la expresión “y/o” por la conjunción “o”.</w:t>
            </w:r>
            <w:r w:rsidR="00953A58">
              <w:rPr>
                <w:rFonts w:ascii="Arial" w:hAnsi="Arial" w:cs="Arial"/>
                <w:sz w:val="20"/>
                <w:szCs w:val="20"/>
              </w:rPr>
              <w:t xml:space="preserve"> (re)</w:t>
            </w:r>
          </w:p>
        </w:tc>
      </w:tr>
      <w:tr w:rsidR="00D6385F" w:rsidRPr="008C072A" w14:paraId="29A34588" w14:textId="496EAE03" w:rsidTr="00D6385F">
        <w:trPr>
          <w:trHeight w:val="1175"/>
        </w:trPr>
        <w:tc>
          <w:tcPr>
            <w:tcW w:w="3859" w:type="dxa"/>
          </w:tcPr>
          <w:p w14:paraId="151FC2EE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698FCC7E" w14:textId="77777777" w:rsidR="00D6385F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ADD99" w14:textId="77777777" w:rsidR="00D6385F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7B2E36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B0654">
              <w:rPr>
                <w:rFonts w:ascii="Arial" w:hAnsi="Arial" w:cs="Arial"/>
                <w:sz w:val="20"/>
                <w:szCs w:val="20"/>
              </w:rPr>
              <w:t>Artículo 6.- Derecho de acceso a la participación pública. Toda persona tiene derecho a participar de manera temprana en los procesos de toma de decisiones en materia ambiental mediante mecanismos abiertos e inclusivos.</w:t>
            </w:r>
          </w:p>
          <w:p w14:paraId="40CBF01E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A8B83D" w14:textId="6D503853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B0654">
              <w:rPr>
                <w:rFonts w:ascii="Arial" w:hAnsi="Arial" w:cs="Arial"/>
                <w:sz w:val="20"/>
                <w:szCs w:val="20"/>
              </w:rPr>
              <w:t>Es deber del Estado promover la participación pública en la formulación de políticas y planes que puedan tener un impacto en el medio ambiente, brindando especial consideración a los grupos y personas en situación de vulnerabilidad.</w:t>
            </w:r>
          </w:p>
          <w:p w14:paraId="6AC78058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9233E4" w14:textId="3F81D656" w:rsidR="00D6385F" w:rsidRPr="00AD59D7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B0654">
              <w:rPr>
                <w:rFonts w:ascii="Arial" w:hAnsi="Arial" w:cs="Arial"/>
                <w:sz w:val="20"/>
                <w:szCs w:val="20"/>
              </w:rPr>
              <w:t>Los órganos de la administración del Estado procurarán que la participación ciudadana en asuntos ambientales se desarrolle siempre de manera segura e informada por parte de toda la población interesada y que las opiniones y sugerencias que de ellas emanen sean debidamente consideradas por quienes deben tomar las decisiones finales.</w:t>
            </w:r>
          </w:p>
          <w:p w14:paraId="61712F58" w14:textId="3FCA5F71" w:rsidR="00D6385F" w:rsidRDefault="00D6385F" w:rsidP="00355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A5B1B8C" w14:textId="31117BB4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Del Ejecutivo </w:t>
            </w:r>
            <w:r>
              <w:rPr>
                <w:rFonts w:ascii="Arial" w:hAnsi="Arial" w:cs="Arial"/>
                <w:sz w:val="20"/>
                <w:szCs w:val="20"/>
              </w:rPr>
              <w:t>para reemplazar el artículo 6</w:t>
            </w:r>
            <w:r w:rsidRPr="00866B74">
              <w:rPr>
                <w:rFonts w:ascii="Arial" w:hAnsi="Arial" w:cs="Arial"/>
                <w:sz w:val="20"/>
                <w:szCs w:val="20"/>
              </w:rPr>
              <w:t xml:space="preserve"> por el siguiente:</w:t>
            </w:r>
          </w:p>
          <w:p w14:paraId="543C9E5F" w14:textId="3A8B6021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6B74">
              <w:rPr>
                <w:rFonts w:ascii="Arial" w:hAnsi="Arial" w:cs="Arial"/>
                <w:sz w:val="20"/>
                <w:szCs w:val="20"/>
              </w:rPr>
              <w:t>“Artículo 6.- Derecho a la participación pública. Toda persona tiene derecho a participar de forma segura e informada en las políticas, planes, programas y acciones en materia ambiental desde las etapas iniciales de los procesos de toma de decisión. Asimismo, toda persona tiene derecho a proponer medidas de promoción o protección de los derechos humanos en asuntos ambientales mediante mecanismos inclusivos y accesibles para toda la población, amparados en lo dispuesto en el numeral 14 del artículo 19 de la Constitución Política de la República.</w:t>
            </w:r>
          </w:p>
          <w:p w14:paraId="34948B6A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B5205F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B74">
              <w:rPr>
                <w:rFonts w:ascii="Arial" w:hAnsi="Arial" w:cs="Arial"/>
                <w:sz w:val="20"/>
                <w:szCs w:val="20"/>
              </w:rPr>
              <w:t xml:space="preserve">Lo anterior incluye la posibilidad de presentar peticiones a las autoridades respectivas para fortalecer la garantía, el respeto, la protección y la promoción. </w:t>
            </w:r>
          </w:p>
          <w:p w14:paraId="5CA7C58F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52F21E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B74">
              <w:rPr>
                <w:rFonts w:ascii="Arial" w:hAnsi="Arial" w:cs="Arial"/>
                <w:sz w:val="20"/>
                <w:szCs w:val="20"/>
              </w:rPr>
              <w:t>En la implementación de mecanismos de participación ciudadana, el Estado considerará la situación de grupos y personas en situación de vulnerabilidad.</w:t>
            </w:r>
          </w:p>
          <w:p w14:paraId="281F2358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A202D9" w14:textId="4D9BB485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B74">
              <w:rPr>
                <w:rFonts w:ascii="Arial" w:hAnsi="Arial" w:cs="Arial"/>
                <w:sz w:val="20"/>
                <w:szCs w:val="20"/>
              </w:rPr>
              <w:t>Lo dispuesto en este artículo debe ser realizado de conformidad a las normas y procedimientos regulados en la ley N°20.500 y demás normas aplicables en la materia.”.</w:t>
            </w:r>
          </w:p>
          <w:p w14:paraId="10EAE7BF" w14:textId="77777777" w:rsidR="00D6385F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034D2" w14:textId="77777777" w:rsidR="00D6385F" w:rsidRDefault="00D6385F" w:rsidP="005F0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C93FDA" w14:textId="515A3152" w:rsidR="00D6385F" w:rsidRDefault="00D6385F" w:rsidP="005F0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14:paraId="3C4C9D4B" w14:textId="438E4771" w:rsidR="00D6385F" w:rsidRPr="00953A58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 xml:space="preserve">8. De la diputada </w:t>
            </w:r>
            <w:proofErr w:type="spellStart"/>
            <w:r w:rsidRPr="00D6385F">
              <w:rPr>
                <w:rFonts w:ascii="Arial" w:hAnsi="Arial" w:cs="Arial"/>
                <w:b/>
                <w:sz w:val="20"/>
                <w:szCs w:val="20"/>
              </w:rPr>
              <w:t>Sagardía</w:t>
            </w:r>
            <w:proofErr w:type="spellEnd"/>
            <w:r w:rsidRPr="00D63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385F">
              <w:rPr>
                <w:rFonts w:ascii="Arial" w:hAnsi="Arial" w:cs="Arial"/>
                <w:sz w:val="20"/>
                <w:szCs w:val="20"/>
              </w:rPr>
              <w:t xml:space="preserve">para eliminar en el inciso primero del artículo 6° la frase “de manera </w:t>
            </w:r>
            <w:r>
              <w:rPr>
                <w:rFonts w:ascii="Arial" w:hAnsi="Arial" w:cs="Arial"/>
                <w:sz w:val="20"/>
                <w:szCs w:val="20"/>
              </w:rPr>
              <w:t>temprana</w:t>
            </w:r>
            <w:r w:rsidRPr="00D6385F">
              <w:rPr>
                <w:rFonts w:ascii="Arial" w:hAnsi="Arial" w:cs="Arial"/>
                <w:sz w:val="20"/>
                <w:szCs w:val="20"/>
              </w:rPr>
              <w:t>”.</w:t>
            </w:r>
            <w:r w:rsidRPr="00D63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3A58">
              <w:rPr>
                <w:rFonts w:ascii="Arial" w:hAnsi="Arial" w:cs="Arial"/>
                <w:sz w:val="20"/>
                <w:szCs w:val="20"/>
              </w:rPr>
              <w:t>(retirada)</w:t>
            </w:r>
          </w:p>
          <w:p w14:paraId="5FB548D9" w14:textId="77777777" w:rsidR="00D6385F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883BF" w14:textId="68B4622A" w:rsidR="00953A58" w:rsidRDefault="00953A58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A58">
              <w:rPr>
                <w:rFonts w:ascii="Arial" w:hAnsi="Arial" w:cs="Arial"/>
                <w:b/>
                <w:sz w:val="20"/>
                <w:szCs w:val="20"/>
              </w:rPr>
              <w:t xml:space="preserve">8A. De los diputados González, Malla, </w:t>
            </w:r>
            <w:proofErr w:type="spellStart"/>
            <w:r w:rsidRPr="00953A58">
              <w:rPr>
                <w:rFonts w:ascii="Arial" w:hAnsi="Arial" w:cs="Arial"/>
                <w:b/>
                <w:sz w:val="20"/>
                <w:szCs w:val="20"/>
              </w:rPr>
              <w:t>Sagardía</w:t>
            </w:r>
            <w:proofErr w:type="spellEnd"/>
            <w:r w:rsidRPr="00953A58">
              <w:rPr>
                <w:rFonts w:ascii="Arial" w:hAnsi="Arial" w:cs="Arial"/>
                <w:b/>
                <w:sz w:val="20"/>
                <w:szCs w:val="20"/>
              </w:rPr>
              <w:t xml:space="preserve">, Araya y González </w:t>
            </w:r>
            <w:r w:rsidRPr="00953A58">
              <w:rPr>
                <w:rFonts w:ascii="Arial" w:hAnsi="Arial" w:cs="Arial"/>
                <w:sz w:val="20"/>
                <w:szCs w:val="20"/>
              </w:rPr>
              <w:t>para reemplazar en el inciso primero del artíc</w:t>
            </w:r>
            <w:r>
              <w:rPr>
                <w:rFonts w:ascii="Arial" w:hAnsi="Arial" w:cs="Arial"/>
                <w:sz w:val="20"/>
                <w:szCs w:val="20"/>
              </w:rPr>
              <w:t>ulo 6, la expresión “de manera temprana</w:t>
            </w:r>
            <w:r w:rsidRPr="00953A58">
              <w:rPr>
                <w:rFonts w:ascii="Arial" w:hAnsi="Arial" w:cs="Arial"/>
                <w:sz w:val="20"/>
                <w:szCs w:val="20"/>
              </w:rPr>
              <w:t>”, por la frase “en cualquier etapa”.</w:t>
            </w:r>
            <w:r w:rsidR="005229E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229ED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5229E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B883E6" w14:textId="77777777" w:rsidR="00D6385F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8EAF0" w14:textId="77777777" w:rsidR="00D6385F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78B8C" w14:textId="77777777" w:rsidR="00D6385F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14E4E" w14:textId="77777777" w:rsidR="00D6385F" w:rsidRDefault="00D6385F" w:rsidP="005F0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5D503" w14:textId="77777777" w:rsidR="00D6385F" w:rsidRPr="00D6385F" w:rsidRDefault="00D6385F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9A34A" w14:textId="77777777" w:rsidR="00D6385F" w:rsidRPr="00D6385F" w:rsidRDefault="00D6385F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67717" w14:textId="18B780A6" w:rsidR="00D6385F" w:rsidRDefault="00D6385F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>9. Del diputado González</w:t>
            </w:r>
            <w:r w:rsidRPr="00D6385F">
              <w:rPr>
                <w:rFonts w:ascii="Arial" w:hAnsi="Arial" w:cs="Arial"/>
                <w:sz w:val="20"/>
                <w:szCs w:val="20"/>
              </w:rPr>
              <w:t xml:space="preserve"> para reemplazar en el inciso tercero del artículo 6, que ha pasado a ser 7, la expresión “ciudadana” por “pública”.</w:t>
            </w:r>
            <w:r w:rsidR="00953A5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53A58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953A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385F" w:rsidRPr="008C072A" w14:paraId="181B524E" w14:textId="16E38A92" w:rsidTr="00D6385F">
        <w:trPr>
          <w:trHeight w:val="1175"/>
        </w:trPr>
        <w:tc>
          <w:tcPr>
            <w:tcW w:w="3859" w:type="dxa"/>
          </w:tcPr>
          <w:p w14:paraId="77AF3E7E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41E76A67" w14:textId="77777777" w:rsidR="00D6385F" w:rsidRDefault="00D6385F" w:rsidP="00AD59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E9D226" w14:textId="77777777" w:rsidR="00D6385F" w:rsidRDefault="00D6385F" w:rsidP="00AD59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C368C2" w14:textId="77777777" w:rsidR="004D038D" w:rsidRDefault="004D038D" w:rsidP="00AD59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E8C36E" w14:textId="7D7F11AB" w:rsidR="00D6385F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bCs/>
                <w:sz w:val="20"/>
                <w:szCs w:val="20"/>
              </w:rPr>
              <w:t>Artículo 7.- Derecho de fiscalización de normas y estándares medioambientales. Toda persona tiene derecho a denunciar y hacerse parte de procedimientos administrativos y judiciales frente al incumplimiento de normas ambientales.</w:t>
            </w:r>
          </w:p>
        </w:tc>
        <w:tc>
          <w:tcPr>
            <w:tcW w:w="4485" w:type="dxa"/>
          </w:tcPr>
          <w:p w14:paraId="2C59F94E" w14:textId="5B6AE808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66B74">
              <w:rPr>
                <w:rFonts w:ascii="Arial" w:hAnsi="Arial" w:cs="Arial"/>
                <w:b/>
                <w:sz w:val="20"/>
                <w:szCs w:val="20"/>
              </w:rPr>
              <w:t>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reemplazar el artículo 7</w:t>
            </w:r>
            <w:r w:rsidRPr="00866B74">
              <w:rPr>
                <w:rFonts w:ascii="Arial" w:hAnsi="Arial" w:cs="Arial"/>
                <w:sz w:val="20"/>
                <w:szCs w:val="20"/>
              </w:rPr>
              <w:t xml:space="preserve"> por el siguiente:</w:t>
            </w:r>
          </w:p>
          <w:p w14:paraId="12BDF4B0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2F394" w14:textId="77777777" w:rsidR="00D6385F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66B74">
              <w:rPr>
                <w:rFonts w:ascii="Arial" w:hAnsi="Arial" w:cs="Arial"/>
                <w:sz w:val="20"/>
                <w:szCs w:val="20"/>
              </w:rPr>
              <w:t>“Artículo 7.- Derecho a denunciar el incumplimiento de normas medio ambientales. Toda persona tiene derecho a denunciar el incumplimiento de normas medioambientales y a hacerse parte de los procedimientos administrativos y judiciales por dicho incumplimiento, de conformidad con la normativa nacional aplicable.”.</w:t>
            </w:r>
          </w:p>
          <w:p w14:paraId="529E25C2" w14:textId="4F02CF1C" w:rsidR="00D6385F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14:paraId="3247B504" w14:textId="77777777" w:rsidR="00D6385F" w:rsidRDefault="00D6385F" w:rsidP="008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85F" w:rsidRPr="008C072A" w14:paraId="4A3F0A81" w14:textId="03F83A37" w:rsidTr="00D6385F">
        <w:trPr>
          <w:trHeight w:val="1175"/>
        </w:trPr>
        <w:tc>
          <w:tcPr>
            <w:tcW w:w="3859" w:type="dxa"/>
          </w:tcPr>
          <w:p w14:paraId="14ACEF39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46B713BE" w14:textId="77777777" w:rsidR="00D6385F" w:rsidRDefault="00D6385F" w:rsidP="00AD59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7D2840" w14:textId="77777777" w:rsidR="00D6385F" w:rsidRDefault="00D6385F" w:rsidP="00AD59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7E2359" w14:textId="77777777" w:rsidR="00D6385F" w:rsidRDefault="00D6385F" w:rsidP="00AD59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2269D" w14:textId="257B9275" w:rsidR="00D6385F" w:rsidRPr="00AD59D7" w:rsidRDefault="00D6385F" w:rsidP="00AD59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BB0654">
              <w:rPr>
                <w:rFonts w:ascii="Arial" w:hAnsi="Arial" w:cs="Arial"/>
                <w:bCs/>
                <w:sz w:val="20"/>
                <w:szCs w:val="20"/>
              </w:rPr>
              <w:t>Artículo 8.- Derecho de comunicación y coordinación. Toda persona, individual o colectivamente, tiene derecho de comunicación y cooperación con otras organizaciones de la sociedad civil, organismos regionales y entidades internacionales, a fin de tratar asuntos relativos a la defensa de derechos humanos en asuntos ambientales y la protección de la naturaleza. Esta disposición incluye los mecanismos y organismos creados por tratados internacionales y procedimientos o relatores especiales.</w:t>
            </w:r>
          </w:p>
        </w:tc>
        <w:tc>
          <w:tcPr>
            <w:tcW w:w="4485" w:type="dxa"/>
          </w:tcPr>
          <w:p w14:paraId="61B169F2" w14:textId="0135A8E0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66B74">
              <w:rPr>
                <w:rFonts w:ascii="Arial" w:hAnsi="Arial" w:cs="Arial"/>
                <w:b/>
                <w:sz w:val="20"/>
                <w:szCs w:val="20"/>
              </w:rPr>
              <w:t>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reemplazar el artículo 8 por el siguiente: </w:t>
            </w:r>
          </w:p>
          <w:p w14:paraId="6771D38B" w14:textId="77777777" w:rsidR="00D6385F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4B8F6C" w14:textId="1605EAC8" w:rsidR="00D6385F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6B74">
              <w:rPr>
                <w:rFonts w:ascii="Arial" w:hAnsi="Arial" w:cs="Arial"/>
                <w:sz w:val="20"/>
                <w:szCs w:val="20"/>
              </w:rPr>
              <w:t>“Artículo 8.- Derecho de comunicación. Toda persona tiene derecho a comunicarse con los organismos pertinentes, ya sean de la sociedad civil, de gobierno, organismos regionales y entidades internacionales, a fin de tratar asuntos relativos a la promoción y defensa de derechos humanos en asuntos ambientales. Esta disposición incluye los mecanismos y organismos creados por tratados internacionales y procedimientos o relatores especiales de conformidad con sus respectivos procedimientos.”.</w:t>
            </w:r>
          </w:p>
          <w:p w14:paraId="4C5C2674" w14:textId="77777777" w:rsidR="00D6385F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3C0C75" w14:textId="77777777" w:rsidR="00D6385F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68F96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024C2" w14:textId="6620DD5F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14:paraId="64DE08B3" w14:textId="77777777" w:rsidR="00D6385F" w:rsidRDefault="00D6385F" w:rsidP="00B22A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85F" w:rsidRPr="008C072A" w14:paraId="0F1B3D88" w14:textId="3500A820" w:rsidTr="00D6385F">
        <w:trPr>
          <w:trHeight w:val="1175"/>
        </w:trPr>
        <w:tc>
          <w:tcPr>
            <w:tcW w:w="3859" w:type="dxa"/>
          </w:tcPr>
          <w:p w14:paraId="6B31311B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3C46056F" w14:textId="77777777" w:rsidR="00D6385F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968F14" w14:textId="77777777" w:rsidR="004D038D" w:rsidRDefault="004D038D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39E2E2" w14:textId="333F6AB8" w:rsidR="00D6385F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BB0654">
              <w:rPr>
                <w:rFonts w:ascii="Arial" w:hAnsi="Arial" w:cs="Arial"/>
                <w:bCs/>
                <w:sz w:val="20"/>
                <w:szCs w:val="20"/>
              </w:rPr>
              <w:t>Artículo 9.- Derecho a la tutela judicial. Todo defensor de derechos humanos en asuntos ambientales tiene derecho a ser asesorado legalmente, disponer de recursos procesales, y ser protegido, por medio de representación letrada, en caso de violación de los derechos establecidos en la presente ley y de cualquiera de los derechos fundamentales establecidos en la Constitución, las leyes y los tratados internacionales ratificados por Chile y que se encuentren vigentes.</w:t>
            </w:r>
          </w:p>
          <w:p w14:paraId="1CE3960A" w14:textId="77777777" w:rsidR="00D6385F" w:rsidRPr="00BB0654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C1DD1B" w14:textId="4E909CFE" w:rsidR="00D6385F" w:rsidRPr="00BB0654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BB0654">
              <w:rPr>
                <w:rFonts w:ascii="Arial" w:hAnsi="Arial" w:cs="Arial"/>
                <w:bCs/>
                <w:sz w:val="20"/>
                <w:szCs w:val="20"/>
              </w:rPr>
              <w:t xml:space="preserve">La ley deberá establecer mecanismos para garantizar la </w:t>
            </w:r>
            <w:proofErr w:type="spellStart"/>
            <w:r w:rsidRPr="00BB0654">
              <w:rPr>
                <w:rFonts w:ascii="Arial" w:hAnsi="Arial" w:cs="Arial"/>
                <w:bCs/>
                <w:sz w:val="20"/>
                <w:szCs w:val="20"/>
              </w:rPr>
              <w:t>contradictoriedad</w:t>
            </w:r>
            <w:proofErr w:type="spellEnd"/>
            <w:r w:rsidRPr="00BB0654">
              <w:rPr>
                <w:rFonts w:ascii="Arial" w:hAnsi="Arial" w:cs="Arial"/>
                <w:bCs/>
                <w:sz w:val="20"/>
                <w:szCs w:val="20"/>
              </w:rPr>
              <w:t xml:space="preserve"> y la celeridad en la tramitación en los procedimientos de defensores en asuntos ambientales y en aquellos vinculados con la protección de elementos ambientales.</w:t>
            </w:r>
          </w:p>
          <w:p w14:paraId="204C28F5" w14:textId="77777777" w:rsidR="00D6385F" w:rsidRPr="00BB0654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06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D6A27CC" w14:textId="468081F7" w:rsidR="00D6385F" w:rsidRPr="00AD59D7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BB0654">
              <w:rPr>
                <w:rFonts w:ascii="Arial" w:hAnsi="Arial" w:cs="Arial"/>
                <w:bCs/>
                <w:sz w:val="20"/>
                <w:szCs w:val="20"/>
              </w:rPr>
              <w:t>Cuando exista una denuncia con indicios suficientes de la afectación a los derechos reconocidos en esta ley, corresponderá al denunciado probar que no existe dicha vulneración.</w:t>
            </w:r>
          </w:p>
          <w:p w14:paraId="008E4888" w14:textId="77777777" w:rsidR="00D6385F" w:rsidRDefault="00D6385F" w:rsidP="009B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FD071C8" w14:textId="3E90F7A6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B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66B74">
              <w:rPr>
                <w:rFonts w:ascii="Arial" w:hAnsi="Arial" w:cs="Arial"/>
                <w:b/>
                <w:sz w:val="20"/>
                <w:szCs w:val="20"/>
              </w:rPr>
              <w:t>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reemplazar el artículo 9 por el siguiente: </w:t>
            </w:r>
          </w:p>
          <w:p w14:paraId="223A4426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6B74">
              <w:rPr>
                <w:rFonts w:ascii="Arial" w:hAnsi="Arial" w:cs="Arial"/>
                <w:bCs/>
                <w:sz w:val="20"/>
                <w:szCs w:val="20"/>
              </w:rPr>
              <w:t>“Artículo 9.- Deber de garantizar un entorno seguro y propicio.</w:t>
            </w:r>
            <w:r w:rsidRPr="00866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66B74">
              <w:rPr>
                <w:rFonts w:ascii="Arial" w:hAnsi="Arial" w:cs="Arial"/>
                <w:sz w:val="20"/>
                <w:szCs w:val="20"/>
              </w:rPr>
              <w:t xml:space="preserve">Es deber del Estado garantizar un entorno seguro y propicio para que las personas defensoras de los derechos humanos en asuntos ambientales puedan actuar sin amenazas o vulneraciones a su vida, seguridad e integridad personal. Para el cumplimiento de este deber, el Estado deberá propender a la adopción de medidas adecuadas y efectivas para reconocer, proteger y promover sus derechos, así como de medidas apropiadas, efectivas y oportunas para prevenir, investigar y sancionar los ataques, amenazas e intimidaciones que las personas defensoras de los derechos humanos en asuntos ambientales puedan sufrir en el ejercicio de su labor de promoción y defensa.”. </w:t>
            </w:r>
          </w:p>
          <w:p w14:paraId="30552E30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47A995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4173CD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43B90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DF714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AC862A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3F989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A8D56A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FF269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D39B1C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F2497A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812953" w14:textId="32E11B8D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14:paraId="1EAF5858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>10. Del diputado González</w:t>
            </w:r>
            <w:r w:rsidRPr="00D6385F">
              <w:rPr>
                <w:rFonts w:ascii="Arial" w:hAnsi="Arial" w:cs="Arial"/>
                <w:sz w:val="20"/>
                <w:szCs w:val="20"/>
              </w:rPr>
              <w:t xml:space="preserve"> para reemplazar el inciso primero del artículo 9, que ha pasado a ser 10, por el siguiente: </w:t>
            </w:r>
          </w:p>
          <w:p w14:paraId="47DCDC32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3E9915" w14:textId="0B6473BF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sz w:val="20"/>
                <w:szCs w:val="20"/>
              </w:rPr>
              <w:t>“Artículo 10. Derecho a la tutela judicial. Toda persona tiene derecho a ser asesorada legalmente, disponer de recursos procesales y ser protegida por medio de representación letrada, en caso de violación de los derechos establecidos en la presente ley y de cualquiera de los derechos fundamentales establecidos en la Constitución, las leyes y los tratados internacionales ratificados por Chile y que se encuentren vigentes.”</w:t>
            </w:r>
            <w:r w:rsidR="00953A5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53A58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953A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385F" w:rsidRPr="008C072A" w14:paraId="7C909BB6" w14:textId="7D83A313" w:rsidTr="00D6385F">
        <w:trPr>
          <w:trHeight w:val="1175"/>
        </w:trPr>
        <w:tc>
          <w:tcPr>
            <w:tcW w:w="3859" w:type="dxa"/>
          </w:tcPr>
          <w:p w14:paraId="23144A79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C79C30C" w14:textId="77777777" w:rsidR="00D6385F" w:rsidRDefault="00D6385F" w:rsidP="00355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0A7AFE" w14:textId="77777777" w:rsidR="00D6385F" w:rsidRPr="00BB0654" w:rsidRDefault="00D6385F" w:rsidP="00BB06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0654">
              <w:rPr>
                <w:rFonts w:ascii="Arial" w:hAnsi="Arial" w:cs="Arial"/>
                <w:bCs/>
                <w:sz w:val="20"/>
                <w:szCs w:val="20"/>
              </w:rPr>
              <w:t>Capítulo III: Deberes del Estado</w:t>
            </w:r>
          </w:p>
          <w:p w14:paraId="4B1D30CC" w14:textId="77777777" w:rsidR="00D6385F" w:rsidRPr="00BB0654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E5E9BC" w14:textId="00591FC2" w:rsidR="00D6385F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BB0654">
              <w:rPr>
                <w:rFonts w:ascii="Arial" w:hAnsi="Arial" w:cs="Arial"/>
                <w:bCs/>
                <w:sz w:val="20"/>
                <w:szCs w:val="20"/>
              </w:rPr>
              <w:t>Artículo 10.- Es deber del Estado garantizar, respetar y promover, a través de sus órganos y políticas públicas, los derechos de los defensores de derechos humanos en asuntos ambientales establecidos en esta ley.</w:t>
            </w:r>
          </w:p>
          <w:p w14:paraId="1A99C18D" w14:textId="77777777" w:rsidR="00D6385F" w:rsidRPr="00BB0654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C6E0F9" w14:textId="77777777" w:rsidR="00D6385F" w:rsidRDefault="00D6385F" w:rsidP="00BB06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BB0654">
              <w:rPr>
                <w:rFonts w:ascii="Arial" w:hAnsi="Arial" w:cs="Arial"/>
                <w:bCs/>
                <w:sz w:val="20"/>
                <w:szCs w:val="20"/>
              </w:rPr>
              <w:t>Existirá un reglamento que regulará la manera en que se cumplirá con este deber. Dicha norma deberá velar por la adopción de medidas oportunas y adecuadas a casos de afectaciones de derechos de defensores de derechos humanos ambientales, mediante la ejecución de investigaciones y la toma de medidas de protección tempranas.</w:t>
            </w:r>
          </w:p>
          <w:p w14:paraId="0F1CCD45" w14:textId="306F5970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72F51CAD" w14:textId="7FB9A0C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B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66B74">
              <w:rPr>
                <w:rFonts w:ascii="Arial" w:hAnsi="Arial" w:cs="Arial"/>
                <w:b/>
                <w:sz w:val="20"/>
                <w:szCs w:val="20"/>
              </w:rPr>
              <w:t>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reemplazar el artículo 10</w:t>
            </w:r>
            <w:r w:rsidRPr="00866B74">
              <w:rPr>
                <w:rFonts w:ascii="Arial" w:hAnsi="Arial" w:cs="Arial"/>
                <w:sz w:val="20"/>
                <w:szCs w:val="20"/>
              </w:rPr>
              <w:t xml:space="preserve"> por el siguiente: </w:t>
            </w:r>
          </w:p>
          <w:p w14:paraId="4059FD7A" w14:textId="77777777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32EBE6" w14:textId="20B7C9E8" w:rsidR="00D6385F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6B74">
              <w:rPr>
                <w:rFonts w:ascii="Arial" w:hAnsi="Arial" w:cs="Arial"/>
                <w:sz w:val="20"/>
                <w:szCs w:val="20"/>
              </w:rPr>
              <w:t>“Artículo 10.- Deber de información. Es deber del Estado mantener a disposición del público, de conformidad con lo dispuesto en la ley N° 20.285, sobre Acceso a la Información Pública, la información que sea necesaria para el ejercicio de los derechos y el cumplimiento de los deberes contemplados en la presente ley, tales como actas, informes y comunicaciones con organismos de derechos humanos internacionales.”.</w:t>
            </w:r>
          </w:p>
        </w:tc>
        <w:tc>
          <w:tcPr>
            <w:tcW w:w="4280" w:type="dxa"/>
          </w:tcPr>
          <w:p w14:paraId="57FBB95F" w14:textId="77777777" w:rsidR="004D038D" w:rsidRDefault="004D038D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359CF" w14:textId="77777777" w:rsidR="004D038D" w:rsidRDefault="004D038D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995468" w14:textId="77777777" w:rsidR="004D038D" w:rsidRDefault="004D038D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47FD84" w14:textId="77777777" w:rsidR="004D038D" w:rsidRDefault="004D038D" w:rsidP="00D638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9B207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 xml:space="preserve">11. De la diputada </w:t>
            </w:r>
            <w:proofErr w:type="spellStart"/>
            <w:r w:rsidRPr="00D6385F">
              <w:rPr>
                <w:rFonts w:ascii="Arial" w:hAnsi="Arial" w:cs="Arial"/>
                <w:b/>
                <w:sz w:val="20"/>
                <w:szCs w:val="20"/>
              </w:rPr>
              <w:t>Sagardía</w:t>
            </w:r>
            <w:proofErr w:type="spellEnd"/>
            <w:r w:rsidRPr="00D63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385F">
              <w:rPr>
                <w:rFonts w:ascii="Arial" w:hAnsi="Arial" w:cs="Arial"/>
                <w:sz w:val="20"/>
                <w:szCs w:val="20"/>
              </w:rPr>
              <w:t xml:space="preserve">para reemplazar el inciso segundo del artículo 10°, por el siguiente: </w:t>
            </w:r>
          </w:p>
          <w:p w14:paraId="322F6ED1" w14:textId="77777777" w:rsidR="00D6385F" w:rsidRP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41833" w14:textId="59ED3787" w:rsidR="00D6385F" w:rsidRDefault="00D6385F" w:rsidP="00D63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sz w:val="20"/>
                <w:szCs w:val="20"/>
              </w:rPr>
              <w:t xml:space="preserve">   Existirá un reglamento que regulará el procedimiento y la forma en que se llevará a cabo el cumplimiento de la obligación señalada en el inciso anterior. Dicho reglamento deberá velar por la adopción de medidas oportunas y adecuadas a casos de afectaciones de derechos de defensores de derechos humanos ambientales, mediante ejecución de investigaciones y l</w:t>
            </w:r>
            <w:r w:rsidR="00953A58">
              <w:rPr>
                <w:rFonts w:ascii="Arial" w:hAnsi="Arial" w:cs="Arial"/>
                <w:sz w:val="20"/>
                <w:szCs w:val="20"/>
              </w:rPr>
              <w:t>a toma de medidas de protección tempranas.</w:t>
            </w:r>
            <w:r w:rsidR="003C37A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C37AC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3C37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385F" w:rsidRPr="008C072A" w14:paraId="2204BE85" w14:textId="23F11F97" w:rsidTr="00D6385F">
        <w:trPr>
          <w:trHeight w:val="1175"/>
        </w:trPr>
        <w:tc>
          <w:tcPr>
            <w:tcW w:w="3859" w:type="dxa"/>
          </w:tcPr>
          <w:p w14:paraId="0ABBC34A" w14:textId="77777777" w:rsidR="00D6385F" w:rsidRDefault="00D6385F" w:rsidP="00745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2880E" w14:textId="6847DDF5" w:rsidR="00D6385F" w:rsidRDefault="00D6385F" w:rsidP="00745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72D7ECBC" w14:textId="77777777" w:rsidR="00D6385F" w:rsidRPr="00355131" w:rsidRDefault="00D6385F" w:rsidP="00355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CED337" w14:textId="77777777" w:rsidR="00D6385F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39776" w14:textId="77777777" w:rsidR="00D6385F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3AD952" w14:textId="7E94ACD7" w:rsidR="00D6385F" w:rsidRPr="00AD59D7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B0654">
              <w:rPr>
                <w:rFonts w:ascii="Arial" w:hAnsi="Arial" w:cs="Arial"/>
                <w:sz w:val="20"/>
                <w:szCs w:val="20"/>
              </w:rPr>
              <w:t>Artículo 11.- Las organismos de la administración del Estado deberán coordinarse en la protección de los derechos de los defensores de derechos humanos en asuntos ambientales, y adoptar oportunamente las medidas que se encuentren dentro de la esfera de sus atribuciones para restablecer el imperio del derecho en caso de amenaza, agresión, perturbación, afectación o vulneración de tales derechos.</w:t>
            </w:r>
          </w:p>
          <w:p w14:paraId="38D6B953" w14:textId="77777777" w:rsidR="00D6385F" w:rsidRPr="00AD59D7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A3E7CE" w14:textId="77777777" w:rsidR="00D6385F" w:rsidRDefault="00D6385F" w:rsidP="00C51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3A08FBA" w14:textId="0A8D4EE2" w:rsidR="00D6385F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A1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C3A19">
              <w:rPr>
                <w:rFonts w:ascii="Arial" w:hAnsi="Arial" w:cs="Arial"/>
                <w:b/>
                <w:sz w:val="20"/>
                <w:szCs w:val="20"/>
              </w:rPr>
              <w:t>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reemplazar el artículo 11 por el siguiente:</w:t>
            </w:r>
          </w:p>
          <w:p w14:paraId="669C99DA" w14:textId="77777777" w:rsidR="00D6385F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40725B" w14:textId="2CC541C3" w:rsidR="00D6385F" w:rsidRPr="00866B74" w:rsidRDefault="00D6385F" w:rsidP="00866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66B74">
              <w:rPr>
                <w:rFonts w:ascii="Arial" w:hAnsi="Arial" w:cs="Arial"/>
                <w:sz w:val="20"/>
                <w:szCs w:val="20"/>
              </w:rPr>
              <w:t>“</w:t>
            </w:r>
            <w:r w:rsidRPr="00866B74">
              <w:rPr>
                <w:rFonts w:ascii="Arial" w:hAnsi="Arial" w:cs="Arial"/>
                <w:bCs/>
                <w:sz w:val="20"/>
                <w:szCs w:val="20"/>
              </w:rPr>
              <w:t>Artículo 11.- Deber de cooperación.</w:t>
            </w:r>
            <w:r w:rsidRPr="00866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6B74">
              <w:rPr>
                <w:rFonts w:ascii="Arial" w:hAnsi="Arial" w:cs="Arial"/>
                <w:sz w:val="20"/>
                <w:szCs w:val="20"/>
                <w:lang w:val="es-ES"/>
              </w:rPr>
              <w:t>En lo relativo a la promoción y protección de los derechos de las personas defensoras de los derechos humanos en asuntos ambientales, las instituciones del Estado colaborarán</w:t>
            </w:r>
            <w:r w:rsidRPr="00866B74">
              <w:rPr>
                <w:rFonts w:ascii="Arial" w:hAnsi="Arial" w:cs="Arial"/>
                <w:sz w:val="20"/>
                <w:szCs w:val="20"/>
              </w:rPr>
              <w:t>, en coordinación con el Ministerio de Relaciones Exteriores, con los órganos de los sistemas internacionales Interamericano y Universal de derechos humanos.”.</w:t>
            </w:r>
          </w:p>
          <w:p w14:paraId="6192644E" w14:textId="206E0E31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E2C9B4" w14:textId="77777777" w:rsidR="00D6385F" w:rsidRDefault="00D6385F" w:rsidP="00072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08BED" w14:textId="2CF34E11" w:rsidR="00D6385F" w:rsidRDefault="00D6385F" w:rsidP="00072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14:paraId="1D4969E3" w14:textId="77777777" w:rsidR="00D6385F" w:rsidRDefault="00D6385F" w:rsidP="00B22A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FF811" w14:textId="77777777" w:rsidR="00D6385F" w:rsidRDefault="00D6385F" w:rsidP="00B22A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C6C67" w14:textId="77777777" w:rsidR="00D6385F" w:rsidRDefault="00D6385F" w:rsidP="00B22A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5AD22" w14:textId="23B229E0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>12. Del diputado González</w:t>
            </w:r>
            <w:r w:rsidRPr="00D6385F">
              <w:rPr>
                <w:rFonts w:ascii="Arial" w:hAnsi="Arial" w:cs="Arial"/>
                <w:sz w:val="20"/>
                <w:szCs w:val="20"/>
              </w:rPr>
              <w:t xml:space="preserve"> para reemplazar en el artículo 11, que ha pasado a ser 12, la expresión “Las organismos” por “Los órganos”.</w:t>
            </w:r>
            <w:r w:rsidR="003C37A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C37AC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3C37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385F" w:rsidRPr="008C072A" w14:paraId="4799BCEB" w14:textId="15DFE3EB" w:rsidTr="00D6385F">
        <w:trPr>
          <w:trHeight w:val="1175"/>
        </w:trPr>
        <w:tc>
          <w:tcPr>
            <w:tcW w:w="3859" w:type="dxa"/>
          </w:tcPr>
          <w:p w14:paraId="2B0DA95E" w14:textId="23777265" w:rsidR="00D6385F" w:rsidRPr="00EE51F0" w:rsidRDefault="00D6385F" w:rsidP="00EE51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14:paraId="505F3DAC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Artículo 12.-</w:t>
            </w:r>
            <w:r w:rsidRPr="00BB065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Los organismos de la administración del Estado deberán brindar colaboración y proporcionar la información que se requiera por parte de las diversas instancias encargadas del cumplimiento de los deberes de protección y garantía para los defensores de derechos humanos en asuntos ambientales.</w:t>
            </w:r>
          </w:p>
          <w:p w14:paraId="6E1BAED2" w14:textId="1C6BDB0F" w:rsidR="00D6385F" w:rsidRPr="00355131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70EA341" w14:textId="313314EA" w:rsidR="00D6385F" w:rsidRDefault="00D6385F" w:rsidP="002E3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B0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E3B05">
              <w:rPr>
                <w:rFonts w:ascii="Arial" w:hAnsi="Arial" w:cs="Arial"/>
                <w:b/>
                <w:sz w:val="20"/>
                <w:szCs w:val="20"/>
              </w:rPr>
              <w:t>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votar en forma separada los artículos 12 a 17.</w:t>
            </w:r>
          </w:p>
        </w:tc>
        <w:tc>
          <w:tcPr>
            <w:tcW w:w="4280" w:type="dxa"/>
          </w:tcPr>
          <w:p w14:paraId="49377DDF" w14:textId="7EB823AD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385F">
              <w:rPr>
                <w:rFonts w:ascii="Arial" w:hAnsi="Arial" w:cs="Arial"/>
                <w:b/>
                <w:sz w:val="20"/>
                <w:szCs w:val="20"/>
              </w:rPr>
              <w:t xml:space="preserve">13. Del diputado González </w:t>
            </w:r>
            <w:r w:rsidRPr="00D6385F">
              <w:rPr>
                <w:rFonts w:ascii="Arial" w:hAnsi="Arial" w:cs="Arial"/>
                <w:sz w:val="20"/>
                <w:szCs w:val="20"/>
              </w:rPr>
              <w:t>para reemplazar en el artículo 12, que ha pasado a ser 13, la expresión “organismos” por “órganos”.</w:t>
            </w:r>
            <w:r w:rsidR="003C37A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C37AC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="003C37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385F" w:rsidRPr="008C072A" w14:paraId="15853DAF" w14:textId="70E4A322" w:rsidTr="00D6385F">
        <w:trPr>
          <w:trHeight w:val="1175"/>
        </w:trPr>
        <w:tc>
          <w:tcPr>
            <w:tcW w:w="3859" w:type="dxa"/>
          </w:tcPr>
          <w:p w14:paraId="043F9611" w14:textId="77777777" w:rsidR="00D6385F" w:rsidRPr="00EE51F0" w:rsidRDefault="00D6385F" w:rsidP="00EE51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14:paraId="166CB9C2" w14:textId="28D88D90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Artículo 13.- Es deber del Estado garantizar un entorno seguro y propicio para que los defensores de los derechos humanos en asuntos ambientales puedan actuar sin amenazas, restricciones e inseguridad. Asimismo, deberán tomar las medidas adecuadas y efectivas para reconocer, proteger y promover sus derechos.</w:t>
            </w:r>
          </w:p>
        </w:tc>
        <w:tc>
          <w:tcPr>
            <w:tcW w:w="4485" w:type="dxa"/>
          </w:tcPr>
          <w:p w14:paraId="641F0810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0" w:type="dxa"/>
          </w:tcPr>
          <w:p w14:paraId="0E53485D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85F" w:rsidRPr="008C072A" w14:paraId="7B998E7E" w14:textId="2C0BD8C0" w:rsidTr="00D6385F">
        <w:trPr>
          <w:trHeight w:val="1175"/>
        </w:trPr>
        <w:tc>
          <w:tcPr>
            <w:tcW w:w="3859" w:type="dxa"/>
          </w:tcPr>
          <w:p w14:paraId="52153586" w14:textId="77777777" w:rsidR="00D6385F" w:rsidRPr="00EE51F0" w:rsidRDefault="00D6385F" w:rsidP="00EE51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14:paraId="644E49F5" w14:textId="73F98C0B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Artículo 14.- Es deber del Estado tomar medidas apropiadas, efectivas y oportunas para prevenir, investigar y sancionar ataques, amenazas o intimidaciones que los defensores de los derechos humanos en asuntos ambientales puedan sufrir en el ejercicio de sus derechos.</w:t>
            </w:r>
          </w:p>
          <w:p w14:paraId="12B3251B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485" w:type="dxa"/>
          </w:tcPr>
          <w:p w14:paraId="7DA344F6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0" w:type="dxa"/>
          </w:tcPr>
          <w:p w14:paraId="5D8703BB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85F" w:rsidRPr="008C072A" w14:paraId="45823DC0" w14:textId="1FA70FCD" w:rsidTr="00D6385F">
        <w:trPr>
          <w:trHeight w:val="1175"/>
        </w:trPr>
        <w:tc>
          <w:tcPr>
            <w:tcW w:w="3859" w:type="dxa"/>
          </w:tcPr>
          <w:p w14:paraId="62A2710F" w14:textId="77777777" w:rsidR="00D6385F" w:rsidRPr="00EE51F0" w:rsidRDefault="00D6385F" w:rsidP="00EE51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14:paraId="2B0E802D" w14:textId="59AAFD61" w:rsidR="00D6385F" w:rsidRDefault="00D6385F" w:rsidP="00BB065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Capítulo IV: Acciones penales ante la vulneración de derechos de defensores de derechos humanos en asuntos ambientales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FC75D8A" w14:textId="77777777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D838F3" w14:textId="2B43707B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 xml:space="preserve">Artículo 15.- Las personas jurídicas serán responsables penalmente por los delitos cometidos contra defensores de derechos humanos en asuntos ambientales, de conformidad con la ley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N°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20.393.</w:t>
            </w:r>
          </w:p>
        </w:tc>
        <w:tc>
          <w:tcPr>
            <w:tcW w:w="4485" w:type="dxa"/>
          </w:tcPr>
          <w:p w14:paraId="5E0D765A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0" w:type="dxa"/>
          </w:tcPr>
          <w:p w14:paraId="6715F068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85F" w:rsidRPr="008C072A" w14:paraId="01DCD931" w14:textId="4FB4A3D1" w:rsidTr="00D6385F">
        <w:trPr>
          <w:trHeight w:val="1175"/>
        </w:trPr>
        <w:tc>
          <w:tcPr>
            <w:tcW w:w="3859" w:type="dxa"/>
          </w:tcPr>
          <w:p w14:paraId="0478F9B7" w14:textId="77777777" w:rsidR="00D6385F" w:rsidRDefault="00D6385F" w:rsidP="00BB0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0654">
              <w:rPr>
                <w:rFonts w:ascii="Arial" w:hAnsi="Arial" w:cs="Arial"/>
                <w:b/>
                <w:sz w:val="20"/>
                <w:szCs w:val="20"/>
              </w:rPr>
              <w:lastRenderedPageBreak/>
              <w:t>Ley 21595 LEY DE DELITOS ECONÓMICOS</w:t>
            </w:r>
          </w:p>
          <w:p w14:paraId="301088BF" w14:textId="77777777" w:rsidR="00D6385F" w:rsidRDefault="00D6385F" w:rsidP="00BB06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6A641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123">
              <w:rPr>
                <w:rFonts w:ascii="Arial" w:hAnsi="Arial" w:cs="Arial"/>
                <w:sz w:val="20"/>
                <w:szCs w:val="20"/>
              </w:rPr>
              <w:t>Artículo 16.- Agravantes muy calificadas. Son circunstancias agravantes muy calificadas de un delito económico las siguientes:</w:t>
            </w:r>
          </w:p>
          <w:p w14:paraId="217A05E0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401EC5" w14:textId="76BFC6CB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  <w:p w14:paraId="363A50A9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5210F" w14:textId="352B2664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123">
              <w:rPr>
                <w:rFonts w:ascii="Arial" w:hAnsi="Arial" w:cs="Arial"/>
                <w:sz w:val="20"/>
                <w:szCs w:val="20"/>
              </w:rPr>
              <w:t xml:space="preserve">  2.ª Que el hecho haya ocasionado un perjuicio muy elevado. Se entenderá que ello tiene lugar en las siguientes circunstancias:</w:t>
            </w:r>
          </w:p>
          <w:p w14:paraId="01E0A080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C4D9D8" w14:textId="6A34AD13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123">
              <w:rPr>
                <w:rFonts w:ascii="Arial" w:hAnsi="Arial" w:cs="Arial"/>
                <w:sz w:val="20"/>
                <w:szCs w:val="20"/>
              </w:rPr>
              <w:t>c) Cuando el hecho haya afectado abusivamente a individuos que pertenecen a un grupo vulnerable.</w:t>
            </w:r>
          </w:p>
          <w:p w14:paraId="1FABCBEF" w14:textId="55C8D881" w:rsidR="00D6385F" w:rsidRPr="00AB2123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4F006B4D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6D06B6D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 xml:space="preserve">Artículo 16.- </w:t>
            </w:r>
            <w:proofErr w:type="spellStart"/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Sustitúyese</w:t>
            </w:r>
            <w:proofErr w:type="spellEnd"/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 xml:space="preserve">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letra c) del artículo 16 de la l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ey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N°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 xml:space="preserve"> 21.595 por la siguiente: </w:t>
            </w:r>
          </w:p>
          <w:p w14:paraId="536CA238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CBB5955" w14:textId="436F3D5B" w:rsidR="00D6385F" w:rsidRPr="00BB0654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“c) Cuando el hecho haya afectado abusivamente a individuos que pertenecen a un grupo vulnerable o que ejercen acciones de defensa o promoción de derechos humanos”.</w:t>
            </w:r>
          </w:p>
        </w:tc>
        <w:tc>
          <w:tcPr>
            <w:tcW w:w="4485" w:type="dxa"/>
          </w:tcPr>
          <w:p w14:paraId="5A5ECC9F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0" w:type="dxa"/>
          </w:tcPr>
          <w:p w14:paraId="5FFD6131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85F" w:rsidRPr="008C072A" w14:paraId="6B551057" w14:textId="16866D98" w:rsidTr="00D6385F">
        <w:trPr>
          <w:trHeight w:val="1175"/>
        </w:trPr>
        <w:tc>
          <w:tcPr>
            <w:tcW w:w="3859" w:type="dxa"/>
          </w:tcPr>
          <w:p w14:paraId="2D804C51" w14:textId="77777777" w:rsidR="00D6385F" w:rsidRDefault="00D6385F" w:rsidP="00EE51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2123">
              <w:rPr>
                <w:rFonts w:ascii="Arial" w:hAnsi="Arial" w:cs="Arial"/>
                <w:b/>
                <w:sz w:val="20"/>
                <w:szCs w:val="20"/>
              </w:rPr>
              <w:t>CÓDIGO PENAL</w:t>
            </w:r>
          </w:p>
          <w:p w14:paraId="2DFC9AC4" w14:textId="77777777" w:rsidR="00D6385F" w:rsidRDefault="00D6385F" w:rsidP="00EE51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5E705A" w14:textId="77777777" w:rsidR="00D6385F" w:rsidRDefault="00D6385F" w:rsidP="00EE5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123">
              <w:rPr>
                <w:rFonts w:ascii="Arial" w:hAnsi="Arial" w:cs="Arial"/>
                <w:sz w:val="20"/>
                <w:szCs w:val="20"/>
              </w:rPr>
              <w:t>Son circunstancias agravantes:</w:t>
            </w:r>
          </w:p>
          <w:p w14:paraId="08093140" w14:textId="77777777" w:rsidR="00D6385F" w:rsidRDefault="00D6385F" w:rsidP="00EE51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74E747" w14:textId="596E3ED9" w:rsidR="00D6385F" w:rsidRPr="00AB2123" w:rsidRDefault="00D6385F" w:rsidP="00EE51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4692" w:type="dxa"/>
          </w:tcPr>
          <w:p w14:paraId="23FB5363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</w:p>
          <w:p w14:paraId="4ECA14CA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 xml:space="preserve">Artículo 17.- </w:t>
            </w:r>
            <w:proofErr w:type="spellStart"/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>Incorpórase</w:t>
            </w:r>
            <w:proofErr w:type="spellEnd"/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 xml:space="preserve"> como agravante del artículo 12 del Código Penal, un número </w:t>
            </w:r>
            <w:r w:rsidRPr="00AB2123"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  <w:t>24</w:t>
            </w:r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 xml:space="preserve"> nuevo: </w:t>
            </w:r>
          </w:p>
          <w:p w14:paraId="53F84320" w14:textId="7777777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4D978E5" w14:textId="08F90317" w:rsidR="00D6385F" w:rsidRDefault="00D6385F" w:rsidP="00BB065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AB2123"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  <w:t>“</w:t>
            </w:r>
            <w:proofErr w:type="gramStart"/>
            <w:r w:rsidRPr="00AB2123"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  <w:t>24.°</w:t>
            </w:r>
            <w:proofErr w:type="gramEnd"/>
            <w:r w:rsidRPr="00BB0654">
              <w:rPr>
                <w:rFonts w:ascii="Arial" w:hAnsi="Arial" w:cs="Arial"/>
                <w:sz w:val="20"/>
                <w:szCs w:val="20"/>
                <w:lang w:val="es-ES"/>
              </w:rPr>
              <w:t xml:space="preserve"> Cometer el delito contra una persona que ejerce acciones de defensa o promoción de derechos humanos”.</w:t>
            </w:r>
          </w:p>
        </w:tc>
        <w:tc>
          <w:tcPr>
            <w:tcW w:w="4485" w:type="dxa"/>
          </w:tcPr>
          <w:p w14:paraId="75FFA475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0" w:type="dxa"/>
          </w:tcPr>
          <w:p w14:paraId="3E271D10" w14:textId="77777777" w:rsidR="00D6385F" w:rsidRPr="002E3B05" w:rsidRDefault="00D6385F" w:rsidP="002E3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85F" w:rsidRPr="008C072A" w14:paraId="451D8411" w14:textId="7D92B52B" w:rsidTr="00D6385F">
        <w:trPr>
          <w:trHeight w:val="1175"/>
        </w:trPr>
        <w:tc>
          <w:tcPr>
            <w:tcW w:w="3859" w:type="dxa"/>
          </w:tcPr>
          <w:p w14:paraId="6FF16812" w14:textId="77777777" w:rsidR="00D6385F" w:rsidRDefault="00D6385F" w:rsidP="00DD1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510F031B" w14:textId="77777777" w:rsidR="00D6385F" w:rsidRDefault="00D6385F" w:rsidP="00AD5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48AED" w14:textId="180912D8" w:rsidR="00D6385F" w:rsidRPr="00355131" w:rsidRDefault="00D6385F" w:rsidP="00C51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54">
              <w:rPr>
                <w:rFonts w:ascii="Arial" w:hAnsi="Arial" w:cs="Arial"/>
                <w:sz w:val="20"/>
                <w:szCs w:val="20"/>
              </w:rPr>
              <w:t>Artículo primero transitorio.- El reglamento a que hace referencia el inciso segundo del artículo 10 deberá dictarse dentro del plazo de un año contado desde la publicación de la presente ley en el Diario Oficial.</w:t>
            </w:r>
          </w:p>
        </w:tc>
        <w:tc>
          <w:tcPr>
            <w:tcW w:w="4485" w:type="dxa"/>
          </w:tcPr>
          <w:p w14:paraId="22028855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4DD60" w14:textId="59670111" w:rsidR="00D6385F" w:rsidRDefault="00D6385F" w:rsidP="00072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B0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E3B05">
              <w:rPr>
                <w:rFonts w:ascii="Arial" w:hAnsi="Arial" w:cs="Arial"/>
                <w:b/>
                <w:sz w:val="20"/>
                <w:szCs w:val="20"/>
              </w:rPr>
              <w:t>. Del Ejecutivo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votar en forma separada la disposición transitoria. </w:t>
            </w:r>
          </w:p>
        </w:tc>
        <w:tc>
          <w:tcPr>
            <w:tcW w:w="4280" w:type="dxa"/>
          </w:tcPr>
          <w:p w14:paraId="003D21F8" w14:textId="77777777" w:rsidR="00D6385F" w:rsidRDefault="00D6385F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CE2D2B" w14:textId="77777777" w:rsidR="00A8056D" w:rsidRPr="00A8056D" w:rsidRDefault="00A8056D" w:rsidP="00A8056D">
      <w:pPr>
        <w:rPr>
          <w:rFonts w:ascii="Arial" w:hAnsi="Arial" w:cs="Arial"/>
          <w:sz w:val="20"/>
          <w:szCs w:val="20"/>
        </w:rPr>
      </w:pPr>
    </w:p>
    <w:p w14:paraId="43B9BE71" w14:textId="77777777" w:rsidR="00593FB5" w:rsidRPr="00A8056D" w:rsidRDefault="00593FB5" w:rsidP="00A8056D">
      <w:pPr>
        <w:tabs>
          <w:tab w:val="left" w:pos="11610"/>
        </w:tabs>
        <w:rPr>
          <w:rFonts w:ascii="Arial" w:hAnsi="Arial" w:cs="Arial"/>
          <w:sz w:val="20"/>
          <w:szCs w:val="20"/>
        </w:rPr>
      </w:pPr>
    </w:p>
    <w:sectPr w:rsidR="00593FB5" w:rsidRPr="00A8056D" w:rsidSect="00593FB5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90CA" w14:textId="77777777" w:rsidR="00511955" w:rsidRDefault="00511955" w:rsidP="00593FB5">
      <w:pPr>
        <w:spacing w:after="0" w:line="240" w:lineRule="auto"/>
      </w:pPr>
      <w:r>
        <w:separator/>
      </w:r>
    </w:p>
  </w:endnote>
  <w:endnote w:type="continuationSeparator" w:id="0">
    <w:p w14:paraId="2260B57A" w14:textId="77777777" w:rsidR="00511955" w:rsidRDefault="00511955" w:rsidP="0059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385885"/>
      <w:docPartObj>
        <w:docPartGallery w:val="Page Numbers (Bottom of Page)"/>
        <w:docPartUnique/>
      </w:docPartObj>
    </w:sdtPr>
    <w:sdtEndPr/>
    <w:sdtContent>
      <w:p w14:paraId="42AC0682" w14:textId="77777777" w:rsidR="00BB0654" w:rsidRDefault="00BB06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38D" w:rsidRPr="004D038D">
          <w:rPr>
            <w:noProof/>
            <w:lang w:val="es-ES"/>
          </w:rPr>
          <w:t>13</w:t>
        </w:r>
        <w:r>
          <w:fldChar w:fldCharType="end"/>
        </w:r>
      </w:p>
    </w:sdtContent>
  </w:sdt>
  <w:p w14:paraId="5C827008" w14:textId="74CA1A3E" w:rsidR="00BB0654" w:rsidRPr="00593FB5" w:rsidRDefault="00BB0654" w:rsidP="00593FB5">
    <w:pPr>
      <w:pStyle w:val="Piedepgina"/>
      <w:jc w:val="center"/>
      <w:rPr>
        <w:rFonts w:ascii="Arial Black" w:hAnsi="Arial Black"/>
        <w:i/>
        <w:iCs/>
      </w:rPr>
    </w:pPr>
    <w:r>
      <w:rPr>
        <w:rFonts w:ascii="Arial Black" w:hAnsi="Arial Black"/>
        <w:i/>
        <w:iCs/>
      </w:rPr>
      <w:t>COMISION DE MEDIO A</w:t>
    </w:r>
    <w:r w:rsidR="00EB2F77">
      <w:rPr>
        <w:rFonts w:ascii="Arial Black" w:hAnsi="Arial Black"/>
        <w:i/>
        <w:iCs/>
      </w:rPr>
      <w:t>MBIENTE Y RECURSOS NATURALES (20 de agosto</w:t>
    </w:r>
    <w:r>
      <w:rPr>
        <w:rFonts w:ascii="Arial Black" w:hAnsi="Arial Black"/>
        <w:i/>
        <w:iCs/>
      </w:rPr>
      <w:t xml:space="preserve">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B9C3" w14:textId="77777777" w:rsidR="00511955" w:rsidRDefault="00511955" w:rsidP="00593FB5">
      <w:pPr>
        <w:spacing w:after="0" w:line="240" w:lineRule="auto"/>
      </w:pPr>
      <w:r>
        <w:separator/>
      </w:r>
    </w:p>
  </w:footnote>
  <w:footnote w:type="continuationSeparator" w:id="0">
    <w:p w14:paraId="61E72A66" w14:textId="77777777" w:rsidR="00511955" w:rsidRDefault="00511955" w:rsidP="0059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895" w14:textId="77777777" w:rsidR="00BB0654" w:rsidRPr="0071192C" w:rsidRDefault="00BB0654" w:rsidP="0071192C">
    <w:pPr>
      <w:pStyle w:val="Encabezado"/>
      <w:spacing w:before="120"/>
      <w:jc w:val="center"/>
      <w:rPr>
        <w:rFonts w:ascii="Arial" w:hAnsi="Arial" w:cs="Arial"/>
        <w:b/>
        <w:bCs/>
      </w:rPr>
    </w:pPr>
    <w:r w:rsidRPr="00621E09">
      <w:rPr>
        <w:rFonts w:ascii="Arial" w:hAnsi="Arial" w:cs="Arial"/>
        <w:b/>
        <w:bCs/>
      </w:rPr>
      <w:t>Comparado proyecto</w:t>
    </w:r>
    <w:r>
      <w:rPr>
        <w:rFonts w:ascii="Arial" w:hAnsi="Arial" w:cs="Arial"/>
        <w:b/>
        <w:bCs/>
      </w:rPr>
      <w:t xml:space="preserve"> de ley que di</w:t>
    </w:r>
    <w:r w:rsidRPr="0071192C">
      <w:rPr>
        <w:rFonts w:ascii="Arial" w:hAnsi="Arial" w:cs="Arial"/>
        <w:b/>
        <w:bCs/>
      </w:rPr>
      <w:t>cta normas sobre protección de personas defensoras de la naturaleza y los derechos humanos medioambientales</w:t>
    </w:r>
  </w:p>
  <w:p w14:paraId="64778086" w14:textId="78C9781B" w:rsidR="00BB0654" w:rsidRDefault="00BB0654" w:rsidP="001E7B57">
    <w:pPr>
      <w:pStyle w:val="Encabezado"/>
      <w:spacing w:before="120"/>
      <w:jc w:val="center"/>
      <w:rPr>
        <w:rFonts w:ascii="Arial" w:hAnsi="Arial" w:cs="Arial"/>
        <w:b/>
        <w:bCs/>
      </w:rPr>
    </w:pPr>
    <w:r w:rsidRPr="001E7B57">
      <w:rPr>
        <w:rFonts w:ascii="Arial" w:hAnsi="Arial" w:cs="Arial"/>
        <w:b/>
        <w:bCs/>
      </w:rPr>
      <w:t xml:space="preserve"> </w:t>
    </w:r>
    <w:r w:rsidRPr="00621E09">
      <w:rPr>
        <w:rFonts w:ascii="Arial" w:hAnsi="Arial" w:cs="Arial"/>
        <w:b/>
        <w:bCs/>
      </w:rPr>
      <w:t>(Boletín N°</w:t>
    </w:r>
    <w:r>
      <w:rPr>
        <w:rFonts w:ascii="Arial" w:hAnsi="Arial" w:cs="Arial"/>
        <w:b/>
        <w:bCs/>
      </w:rPr>
      <w:t>16.886-12</w:t>
    </w:r>
    <w:r w:rsidRPr="00621E09">
      <w:rPr>
        <w:rFonts w:ascii="Arial" w:hAnsi="Arial" w:cs="Arial"/>
        <w:b/>
        <w:bCs/>
      </w:rPr>
      <w:t>)</w:t>
    </w:r>
    <w:r>
      <w:rPr>
        <w:rFonts w:ascii="Arial" w:hAnsi="Arial" w:cs="Arial"/>
        <w:b/>
        <w:bCs/>
      </w:rPr>
      <w:t xml:space="preserve"> (Segundo informe)</w:t>
    </w:r>
  </w:p>
  <w:p w14:paraId="578A9362" w14:textId="77777777" w:rsidR="00BB0654" w:rsidRPr="00621E09" w:rsidRDefault="00BB0654" w:rsidP="00DD4F08">
    <w:pPr>
      <w:pStyle w:val="Encabezado"/>
      <w:spacing w:before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1759"/>
    <w:multiLevelType w:val="hybridMultilevel"/>
    <w:tmpl w:val="5D82D94A"/>
    <w:lvl w:ilvl="0" w:tplc="430ED4D8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82A3BFB"/>
    <w:multiLevelType w:val="hybridMultilevel"/>
    <w:tmpl w:val="B2C6E1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5C3B"/>
    <w:multiLevelType w:val="hybridMultilevel"/>
    <w:tmpl w:val="C100BAA2"/>
    <w:lvl w:ilvl="0" w:tplc="D43CA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B5"/>
    <w:rsid w:val="00001861"/>
    <w:rsid w:val="000018C5"/>
    <w:rsid w:val="00002E42"/>
    <w:rsid w:val="000130BB"/>
    <w:rsid w:val="000256EB"/>
    <w:rsid w:val="00026FE0"/>
    <w:rsid w:val="00043BF0"/>
    <w:rsid w:val="00062A42"/>
    <w:rsid w:val="00066EF2"/>
    <w:rsid w:val="0007237B"/>
    <w:rsid w:val="0008705D"/>
    <w:rsid w:val="000916F6"/>
    <w:rsid w:val="00096ACE"/>
    <w:rsid w:val="000B36C3"/>
    <w:rsid w:val="000B41E2"/>
    <w:rsid w:val="000D5D19"/>
    <w:rsid w:val="000E173B"/>
    <w:rsid w:val="000E196F"/>
    <w:rsid w:val="000E571B"/>
    <w:rsid w:val="001102D0"/>
    <w:rsid w:val="00113389"/>
    <w:rsid w:val="00126A18"/>
    <w:rsid w:val="00133999"/>
    <w:rsid w:val="001477ED"/>
    <w:rsid w:val="001560EE"/>
    <w:rsid w:val="001578E1"/>
    <w:rsid w:val="00157D9B"/>
    <w:rsid w:val="00162317"/>
    <w:rsid w:val="00162C4B"/>
    <w:rsid w:val="00165FD2"/>
    <w:rsid w:val="0019001C"/>
    <w:rsid w:val="001906A6"/>
    <w:rsid w:val="00194345"/>
    <w:rsid w:val="001B5CFD"/>
    <w:rsid w:val="001B79A0"/>
    <w:rsid w:val="001C7CAF"/>
    <w:rsid w:val="001D38A3"/>
    <w:rsid w:val="001E1F51"/>
    <w:rsid w:val="001E2B9E"/>
    <w:rsid w:val="001E7B57"/>
    <w:rsid w:val="001F2609"/>
    <w:rsid w:val="00211D57"/>
    <w:rsid w:val="002138F0"/>
    <w:rsid w:val="00220808"/>
    <w:rsid w:val="00243413"/>
    <w:rsid w:val="00252F0A"/>
    <w:rsid w:val="00257166"/>
    <w:rsid w:val="00260046"/>
    <w:rsid w:val="002611E3"/>
    <w:rsid w:val="00264D18"/>
    <w:rsid w:val="00265A95"/>
    <w:rsid w:val="00267770"/>
    <w:rsid w:val="00271FC3"/>
    <w:rsid w:val="00276120"/>
    <w:rsid w:val="00280D88"/>
    <w:rsid w:val="0028742D"/>
    <w:rsid w:val="002878B4"/>
    <w:rsid w:val="002917B6"/>
    <w:rsid w:val="002A09B3"/>
    <w:rsid w:val="002B00CE"/>
    <w:rsid w:val="002B3AF4"/>
    <w:rsid w:val="002C7CFA"/>
    <w:rsid w:val="002E0E02"/>
    <w:rsid w:val="002E139E"/>
    <w:rsid w:val="002E294C"/>
    <w:rsid w:val="002E3B05"/>
    <w:rsid w:val="002F324D"/>
    <w:rsid w:val="00313DE7"/>
    <w:rsid w:val="003218AC"/>
    <w:rsid w:val="003318DE"/>
    <w:rsid w:val="003405FC"/>
    <w:rsid w:val="003409DE"/>
    <w:rsid w:val="00355131"/>
    <w:rsid w:val="00363C64"/>
    <w:rsid w:val="003668F9"/>
    <w:rsid w:val="00376247"/>
    <w:rsid w:val="00377E77"/>
    <w:rsid w:val="00386064"/>
    <w:rsid w:val="003914C2"/>
    <w:rsid w:val="003934A4"/>
    <w:rsid w:val="003A799F"/>
    <w:rsid w:val="003C37AC"/>
    <w:rsid w:val="003C4682"/>
    <w:rsid w:val="003C703B"/>
    <w:rsid w:val="003D0665"/>
    <w:rsid w:val="003E3C03"/>
    <w:rsid w:val="003F50C7"/>
    <w:rsid w:val="0041705B"/>
    <w:rsid w:val="00421B04"/>
    <w:rsid w:val="004225BF"/>
    <w:rsid w:val="0042664C"/>
    <w:rsid w:val="00432216"/>
    <w:rsid w:val="00450A38"/>
    <w:rsid w:val="0045558C"/>
    <w:rsid w:val="0045647E"/>
    <w:rsid w:val="00457A8B"/>
    <w:rsid w:val="004615A5"/>
    <w:rsid w:val="00462314"/>
    <w:rsid w:val="00462360"/>
    <w:rsid w:val="004712C6"/>
    <w:rsid w:val="00471D55"/>
    <w:rsid w:val="00475A47"/>
    <w:rsid w:val="004776DB"/>
    <w:rsid w:val="00480056"/>
    <w:rsid w:val="00492841"/>
    <w:rsid w:val="00497CF9"/>
    <w:rsid w:val="00497FFB"/>
    <w:rsid w:val="004A2576"/>
    <w:rsid w:val="004A5746"/>
    <w:rsid w:val="004B066B"/>
    <w:rsid w:val="004B449A"/>
    <w:rsid w:val="004B7A0D"/>
    <w:rsid w:val="004B7B38"/>
    <w:rsid w:val="004C37A9"/>
    <w:rsid w:val="004C6543"/>
    <w:rsid w:val="004D038D"/>
    <w:rsid w:val="004D407E"/>
    <w:rsid w:val="004E364F"/>
    <w:rsid w:val="004F762D"/>
    <w:rsid w:val="005028C5"/>
    <w:rsid w:val="00502B3C"/>
    <w:rsid w:val="00502E08"/>
    <w:rsid w:val="00511955"/>
    <w:rsid w:val="005229ED"/>
    <w:rsid w:val="0052508D"/>
    <w:rsid w:val="00534558"/>
    <w:rsid w:val="00536169"/>
    <w:rsid w:val="00542832"/>
    <w:rsid w:val="00546366"/>
    <w:rsid w:val="00547800"/>
    <w:rsid w:val="00556F58"/>
    <w:rsid w:val="00561EAA"/>
    <w:rsid w:val="00567976"/>
    <w:rsid w:val="00573BD9"/>
    <w:rsid w:val="00592A1A"/>
    <w:rsid w:val="00593FB5"/>
    <w:rsid w:val="00595B10"/>
    <w:rsid w:val="005960F5"/>
    <w:rsid w:val="005A3C0A"/>
    <w:rsid w:val="005A796C"/>
    <w:rsid w:val="005B195B"/>
    <w:rsid w:val="005C10E0"/>
    <w:rsid w:val="005D1D00"/>
    <w:rsid w:val="005D765C"/>
    <w:rsid w:val="005E1EF4"/>
    <w:rsid w:val="005E302F"/>
    <w:rsid w:val="005F0E0A"/>
    <w:rsid w:val="00600751"/>
    <w:rsid w:val="00611612"/>
    <w:rsid w:val="00613E11"/>
    <w:rsid w:val="00621E09"/>
    <w:rsid w:val="00623FF0"/>
    <w:rsid w:val="006241B6"/>
    <w:rsid w:val="00625EC1"/>
    <w:rsid w:val="00630E99"/>
    <w:rsid w:val="0063746E"/>
    <w:rsid w:val="006568E2"/>
    <w:rsid w:val="00657187"/>
    <w:rsid w:val="00663CA5"/>
    <w:rsid w:val="0066716D"/>
    <w:rsid w:val="006846E1"/>
    <w:rsid w:val="0068567D"/>
    <w:rsid w:val="006A658B"/>
    <w:rsid w:val="006B0210"/>
    <w:rsid w:val="006B08A5"/>
    <w:rsid w:val="006B2F30"/>
    <w:rsid w:val="006B7431"/>
    <w:rsid w:val="006F2850"/>
    <w:rsid w:val="0071192C"/>
    <w:rsid w:val="007142C9"/>
    <w:rsid w:val="007220AC"/>
    <w:rsid w:val="007258DF"/>
    <w:rsid w:val="0073153A"/>
    <w:rsid w:val="00740690"/>
    <w:rsid w:val="00745569"/>
    <w:rsid w:val="00760A1D"/>
    <w:rsid w:val="00765BE9"/>
    <w:rsid w:val="00766890"/>
    <w:rsid w:val="0078075E"/>
    <w:rsid w:val="00795D0A"/>
    <w:rsid w:val="007A0316"/>
    <w:rsid w:val="007A5634"/>
    <w:rsid w:val="007B1126"/>
    <w:rsid w:val="007C282B"/>
    <w:rsid w:val="007C583B"/>
    <w:rsid w:val="007E2523"/>
    <w:rsid w:val="007F60E0"/>
    <w:rsid w:val="00802A4A"/>
    <w:rsid w:val="0080331D"/>
    <w:rsid w:val="00807B7D"/>
    <w:rsid w:val="00827C5A"/>
    <w:rsid w:val="0085651E"/>
    <w:rsid w:val="00863F1F"/>
    <w:rsid w:val="008660BE"/>
    <w:rsid w:val="00866B74"/>
    <w:rsid w:val="0088658D"/>
    <w:rsid w:val="008955C0"/>
    <w:rsid w:val="008A4F6F"/>
    <w:rsid w:val="008C072A"/>
    <w:rsid w:val="008D53B3"/>
    <w:rsid w:val="008F4BE1"/>
    <w:rsid w:val="008F6DA8"/>
    <w:rsid w:val="00900EF9"/>
    <w:rsid w:val="00922AB6"/>
    <w:rsid w:val="009359F2"/>
    <w:rsid w:val="00940974"/>
    <w:rsid w:val="00940DB5"/>
    <w:rsid w:val="0094534C"/>
    <w:rsid w:val="00953A58"/>
    <w:rsid w:val="00956AA6"/>
    <w:rsid w:val="00973876"/>
    <w:rsid w:val="00975FF1"/>
    <w:rsid w:val="009766E3"/>
    <w:rsid w:val="00980521"/>
    <w:rsid w:val="009902DB"/>
    <w:rsid w:val="00995D10"/>
    <w:rsid w:val="009A55E7"/>
    <w:rsid w:val="009B2B6E"/>
    <w:rsid w:val="009B41D8"/>
    <w:rsid w:val="009B45F2"/>
    <w:rsid w:val="009C1501"/>
    <w:rsid w:val="009C4AAB"/>
    <w:rsid w:val="009C4D77"/>
    <w:rsid w:val="009D04FA"/>
    <w:rsid w:val="009D3143"/>
    <w:rsid w:val="009D4AC6"/>
    <w:rsid w:val="009D71AD"/>
    <w:rsid w:val="00A04673"/>
    <w:rsid w:val="00A04D9A"/>
    <w:rsid w:val="00A1050A"/>
    <w:rsid w:val="00A2401C"/>
    <w:rsid w:val="00A3682C"/>
    <w:rsid w:val="00A37279"/>
    <w:rsid w:val="00A41228"/>
    <w:rsid w:val="00A41232"/>
    <w:rsid w:val="00A419DF"/>
    <w:rsid w:val="00A53AA3"/>
    <w:rsid w:val="00A57FE0"/>
    <w:rsid w:val="00A61BCA"/>
    <w:rsid w:val="00A7534B"/>
    <w:rsid w:val="00A75A4B"/>
    <w:rsid w:val="00A8056D"/>
    <w:rsid w:val="00A80F14"/>
    <w:rsid w:val="00A8463C"/>
    <w:rsid w:val="00AA3C9E"/>
    <w:rsid w:val="00AA5C7B"/>
    <w:rsid w:val="00AB2123"/>
    <w:rsid w:val="00AB4798"/>
    <w:rsid w:val="00AD3AE7"/>
    <w:rsid w:val="00AD59D7"/>
    <w:rsid w:val="00AE757E"/>
    <w:rsid w:val="00AF0E29"/>
    <w:rsid w:val="00AF1D48"/>
    <w:rsid w:val="00AF7B9B"/>
    <w:rsid w:val="00B079E3"/>
    <w:rsid w:val="00B13F5D"/>
    <w:rsid w:val="00B20F50"/>
    <w:rsid w:val="00B22A1B"/>
    <w:rsid w:val="00B240A4"/>
    <w:rsid w:val="00B25BD2"/>
    <w:rsid w:val="00B374A6"/>
    <w:rsid w:val="00B45A13"/>
    <w:rsid w:val="00B520ED"/>
    <w:rsid w:val="00B56B07"/>
    <w:rsid w:val="00B61B46"/>
    <w:rsid w:val="00B63165"/>
    <w:rsid w:val="00B7613C"/>
    <w:rsid w:val="00B805CA"/>
    <w:rsid w:val="00B82081"/>
    <w:rsid w:val="00B83E84"/>
    <w:rsid w:val="00B900B4"/>
    <w:rsid w:val="00B92A40"/>
    <w:rsid w:val="00BA36E2"/>
    <w:rsid w:val="00BB0654"/>
    <w:rsid w:val="00BC4B39"/>
    <w:rsid w:val="00BC4EA5"/>
    <w:rsid w:val="00BC6AF4"/>
    <w:rsid w:val="00BD22D7"/>
    <w:rsid w:val="00BD5987"/>
    <w:rsid w:val="00BF7E6B"/>
    <w:rsid w:val="00C02606"/>
    <w:rsid w:val="00C13DE9"/>
    <w:rsid w:val="00C35A74"/>
    <w:rsid w:val="00C35DDE"/>
    <w:rsid w:val="00C360D0"/>
    <w:rsid w:val="00C363E5"/>
    <w:rsid w:val="00C36CD3"/>
    <w:rsid w:val="00C51C9E"/>
    <w:rsid w:val="00C56D27"/>
    <w:rsid w:val="00C60480"/>
    <w:rsid w:val="00C6346F"/>
    <w:rsid w:val="00C760EE"/>
    <w:rsid w:val="00C77BBC"/>
    <w:rsid w:val="00C831EA"/>
    <w:rsid w:val="00C84235"/>
    <w:rsid w:val="00CA3BE1"/>
    <w:rsid w:val="00CA577D"/>
    <w:rsid w:val="00CD68EC"/>
    <w:rsid w:val="00CE2429"/>
    <w:rsid w:val="00CF1E2B"/>
    <w:rsid w:val="00D01805"/>
    <w:rsid w:val="00D0418C"/>
    <w:rsid w:val="00D06EEC"/>
    <w:rsid w:val="00D11171"/>
    <w:rsid w:val="00D16D17"/>
    <w:rsid w:val="00D2557F"/>
    <w:rsid w:val="00D322A9"/>
    <w:rsid w:val="00D3232D"/>
    <w:rsid w:val="00D3464F"/>
    <w:rsid w:val="00D370AF"/>
    <w:rsid w:val="00D45708"/>
    <w:rsid w:val="00D531DE"/>
    <w:rsid w:val="00D56F5A"/>
    <w:rsid w:val="00D62673"/>
    <w:rsid w:val="00D6385F"/>
    <w:rsid w:val="00D65E53"/>
    <w:rsid w:val="00D7067E"/>
    <w:rsid w:val="00D7791B"/>
    <w:rsid w:val="00D80040"/>
    <w:rsid w:val="00D800D5"/>
    <w:rsid w:val="00D8750B"/>
    <w:rsid w:val="00DA22D8"/>
    <w:rsid w:val="00DA23AB"/>
    <w:rsid w:val="00DB1EEF"/>
    <w:rsid w:val="00DC04B2"/>
    <w:rsid w:val="00DC426E"/>
    <w:rsid w:val="00DD1531"/>
    <w:rsid w:val="00DD4F08"/>
    <w:rsid w:val="00DF61A3"/>
    <w:rsid w:val="00E0396D"/>
    <w:rsid w:val="00E04D9B"/>
    <w:rsid w:val="00E32073"/>
    <w:rsid w:val="00E34840"/>
    <w:rsid w:val="00E40F78"/>
    <w:rsid w:val="00E445C5"/>
    <w:rsid w:val="00E46D8F"/>
    <w:rsid w:val="00E47951"/>
    <w:rsid w:val="00E50451"/>
    <w:rsid w:val="00E574FB"/>
    <w:rsid w:val="00E740CA"/>
    <w:rsid w:val="00E87449"/>
    <w:rsid w:val="00E94C94"/>
    <w:rsid w:val="00E965FE"/>
    <w:rsid w:val="00EA3323"/>
    <w:rsid w:val="00EA5B0C"/>
    <w:rsid w:val="00EB2F77"/>
    <w:rsid w:val="00EB6316"/>
    <w:rsid w:val="00EB6A28"/>
    <w:rsid w:val="00EC4E0A"/>
    <w:rsid w:val="00EE51F0"/>
    <w:rsid w:val="00EE7557"/>
    <w:rsid w:val="00F02F56"/>
    <w:rsid w:val="00F03FD7"/>
    <w:rsid w:val="00F049CC"/>
    <w:rsid w:val="00F11466"/>
    <w:rsid w:val="00F16FE5"/>
    <w:rsid w:val="00F34F43"/>
    <w:rsid w:val="00F501F3"/>
    <w:rsid w:val="00F62E1F"/>
    <w:rsid w:val="00F637FE"/>
    <w:rsid w:val="00F641FA"/>
    <w:rsid w:val="00F659AE"/>
    <w:rsid w:val="00F674F0"/>
    <w:rsid w:val="00F846D0"/>
    <w:rsid w:val="00F84E3C"/>
    <w:rsid w:val="00F85F03"/>
    <w:rsid w:val="00F9183C"/>
    <w:rsid w:val="00FA3AA8"/>
    <w:rsid w:val="00FC2EF3"/>
    <w:rsid w:val="00FC3A19"/>
    <w:rsid w:val="00FD5543"/>
    <w:rsid w:val="00FE5AF5"/>
    <w:rsid w:val="00FE659D"/>
    <w:rsid w:val="00FE6EF4"/>
    <w:rsid w:val="00FF007D"/>
    <w:rsid w:val="00FF013F"/>
    <w:rsid w:val="00FF0CB0"/>
    <w:rsid w:val="00FF2BA1"/>
    <w:rsid w:val="00FF425B"/>
    <w:rsid w:val="00FF65D0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76DB"/>
  <w15:docId w15:val="{B3D7A216-FA65-4047-AE53-B147F2C5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751"/>
  </w:style>
  <w:style w:type="paragraph" w:styleId="Ttulo1">
    <w:name w:val="heading 1"/>
    <w:basedOn w:val="Normal"/>
    <w:next w:val="Normal"/>
    <w:link w:val="Ttulo1Car"/>
    <w:uiPriority w:val="9"/>
    <w:qFormat/>
    <w:rsid w:val="00BB0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FB5"/>
  </w:style>
  <w:style w:type="paragraph" w:styleId="Piedepgina">
    <w:name w:val="footer"/>
    <w:basedOn w:val="Normal"/>
    <w:link w:val="PiedepginaCar"/>
    <w:uiPriority w:val="99"/>
    <w:unhideWhenUsed/>
    <w:rsid w:val="0059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FB5"/>
  </w:style>
  <w:style w:type="character" w:customStyle="1" w:styleId="Ttulo2Car">
    <w:name w:val="Título 2 Car"/>
    <w:basedOn w:val="Fuentedeprrafopredeter"/>
    <w:link w:val="Ttulo2"/>
    <w:uiPriority w:val="9"/>
    <w:semiHidden/>
    <w:rsid w:val="00CD68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102D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05C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30E99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49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49CC"/>
  </w:style>
  <w:style w:type="character" w:customStyle="1" w:styleId="Ttulo1Car">
    <w:name w:val="Título 1 Car"/>
    <w:basedOn w:val="Fuentedeprrafopredeter"/>
    <w:link w:val="Ttulo1"/>
    <w:uiPriority w:val="9"/>
    <w:rsid w:val="00BB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B06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B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955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1348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A8DB-605B-43F6-81D1-279ABB86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3769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Ortiz</dc:creator>
  <cp:lastModifiedBy>Alejandra Fernandez Troncoso</cp:lastModifiedBy>
  <cp:revision>2</cp:revision>
  <dcterms:created xsi:type="dcterms:W3CDTF">2025-08-20T18:50:00Z</dcterms:created>
  <dcterms:modified xsi:type="dcterms:W3CDTF">2025-08-20T18:50:00Z</dcterms:modified>
</cp:coreProperties>
</file>