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77"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7"/>
      </w:tblGrid>
      <w:tr w:rsidR="005B6CBD" w:rsidRPr="00C30DDE" w14:paraId="0142FC3A" w14:textId="77777777" w:rsidTr="005B6CBD">
        <w:trPr>
          <w:tblHeader/>
        </w:trPr>
        <w:tc>
          <w:tcPr>
            <w:tcW w:w="15377" w:type="dxa"/>
            <w:shd w:val="clear" w:color="auto" w:fill="D9D9D9"/>
          </w:tcPr>
          <w:p w14:paraId="3F353EEF" w14:textId="5C2A337F" w:rsidR="005B6CBD" w:rsidRPr="00C30DDE" w:rsidRDefault="005B6CBD" w:rsidP="005B6CBD">
            <w:pPr>
              <w:spacing w:before="120" w:after="120"/>
              <w:ind w:right="-5880"/>
              <w:rPr>
                <w:rFonts w:ascii="Arial" w:hAnsi="Arial" w:cs="Arial"/>
                <w:b/>
                <w:sz w:val="24"/>
                <w:szCs w:val="24"/>
              </w:rPr>
            </w:pPr>
          </w:p>
          <w:p w14:paraId="32DA718D" w14:textId="001E1E18" w:rsidR="005B6CBD" w:rsidRPr="00C30DDE" w:rsidRDefault="005B6CBD" w:rsidP="005B6CBD">
            <w:pPr>
              <w:spacing w:before="120" w:after="120"/>
              <w:ind w:right="-5880"/>
              <w:jc w:val="center"/>
              <w:rPr>
                <w:rFonts w:ascii="Arial" w:hAnsi="Arial" w:cs="Arial"/>
                <w:b/>
                <w:sz w:val="24"/>
                <w:szCs w:val="24"/>
              </w:rPr>
            </w:pPr>
            <w:r>
              <w:rPr>
                <w:rFonts w:ascii="Arial" w:hAnsi="Arial" w:cs="Arial"/>
                <w:b/>
                <w:sz w:val="24"/>
                <w:szCs w:val="24"/>
              </w:rPr>
              <w:t>Proyecto de ley</w:t>
            </w:r>
          </w:p>
        </w:tc>
      </w:tr>
      <w:tr w:rsidR="005B6CBD" w:rsidRPr="00C30DDE" w14:paraId="4FE1CB11" w14:textId="77777777" w:rsidTr="005B6CBD">
        <w:tc>
          <w:tcPr>
            <w:tcW w:w="15377" w:type="dxa"/>
          </w:tcPr>
          <w:p w14:paraId="7FEA7D77"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“Artículo </w:t>
            </w:r>
            <w:proofErr w:type="gramStart"/>
            <w:r w:rsidRPr="00D57B83">
              <w:rPr>
                <w:rFonts w:ascii="Arial" w:hAnsi="Arial" w:cs="Arial"/>
                <w:lang w:val="es-CL"/>
              </w:rPr>
              <w:t>primero.-</w:t>
            </w:r>
            <w:proofErr w:type="gramEnd"/>
            <w:r w:rsidRPr="00D57B83">
              <w:rPr>
                <w:rFonts w:ascii="Arial" w:hAnsi="Arial" w:cs="Arial"/>
                <w:lang w:val="es-CL"/>
              </w:rPr>
              <w:t xml:space="preserve"> El que sin la debida autorización y en contravención de la ley produjere o internare al territorio nacional fentanilo o sus derivados; será sancionado con la pena de presidio mayor en su grado medio y multa de cincuenta a cuatrocientas unidades tributarias mensuales. Con idéntica pena se sancionará a quien, careciendo de la debida autorización comercialice o distribuya dichas sustancias.</w:t>
            </w:r>
          </w:p>
          <w:p w14:paraId="61DC48B2"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La sanción establecida en el inciso precedente se aplicará en su máximum respecto de quien entregare a cualquier título fentanilo o sus derivados a menores de edad.</w:t>
            </w:r>
          </w:p>
          <w:p w14:paraId="5ADDC847"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El que poseyere las sustancias señaladas en el inciso primero sin estar habilitado para ello, será sancionado con presidio menor en su grado medio a máximo y multa de veinte a sesenta unidades tributarias mensuales a menos que justifique que están destinadas a la atención de un tratamiento médico o a su uso o consumo personal exclusivo y próximo en el tiempo.</w:t>
            </w:r>
          </w:p>
          <w:p w14:paraId="0959300D"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Se entenderá que no concurre la circunstancia de uso o consumo personal exclusivo y próximo en el tiempo, cuando la sustancia poseída no permita racionalmente suponer que está destinada al uso o consumo descrito o cuando las circunstancias de la posesión sean indiciarias del propósito de comercializarla, distribuirla o facilitarla a cualquier título.</w:t>
            </w:r>
          </w:p>
          <w:p w14:paraId="3D95178C"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 </w:t>
            </w:r>
          </w:p>
          <w:p w14:paraId="5D10282A"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7D89AA9B" w14:textId="77777777" w:rsidTr="005B6CBD">
        <w:tc>
          <w:tcPr>
            <w:tcW w:w="15377" w:type="dxa"/>
          </w:tcPr>
          <w:p w14:paraId="47F6D239"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Artículo </w:t>
            </w:r>
            <w:proofErr w:type="gramStart"/>
            <w:r w:rsidRPr="00D57B83">
              <w:rPr>
                <w:rFonts w:ascii="Arial" w:hAnsi="Arial" w:cs="Arial"/>
                <w:lang w:val="es-CL"/>
              </w:rPr>
              <w:t>segundo.-</w:t>
            </w:r>
            <w:proofErr w:type="gramEnd"/>
            <w:r w:rsidRPr="00D57B83">
              <w:rPr>
                <w:rFonts w:ascii="Arial" w:hAnsi="Arial" w:cs="Arial"/>
                <w:lang w:val="es-CL"/>
              </w:rPr>
              <w:t xml:space="preserve"> La autoridad sanitaria, en casos calificados y por resolución fundada, podrá autorizar la fabricación e importación de fentanilo o sus derivados, solo para uso medicinal.</w:t>
            </w:r>
          </w:p>
          <w:p w14:paraId="62EBB73C"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Previo al ingreso al país, el consignatario o importador legalmente autorizado, deberá informar a la autoridad sanitaria de la importación y acompañar ante el Servicio Nacional de Aduanas copia certificada de la resolución a la que hace referencia el inciso anterior como condición necesaria para el ingreso de las mercancías.</w:t>
            </w:r>
          </w:p>
          <w:p w14:paraId="07E17388"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Cuando se careciere del certificado previsto en este artículo, las sustancias señaladas en el inciso primero serán retenidas por el Servicio Nacional de Aduanas y remitidas a la autoridad sanitaria para su destrucción.</w:t>
            </w:r>
          </w:p>
          <w:p w14:paraId="6F19F01C"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lastRenderedPageBreak/>
              <w:t>La autorización a la que se refiere el inciso primero deberá renovarse cada dos años. Para estos efectos, el Ministerio Público remitirá trimestralmente a la autoridad sanitaria la nómina de los sujetos que han sido condenados, beneficiarios de suspensión condicional del procedimiento o formalizados por los delitos establecidos en esta ley y en las leyes Nos. 20.000, 19.366 y 19.913.</w:t>
            </w:r>
          </w:p>
          <w:p w14:paraId="022917FB"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6742CDB6" w14:textId="77777777" w:rsidTr="005B6CBD">
        <w:tc>
          <w:tcPr>
            <w:tcW w:w="15377" w:type="dxa"/>
          </w:tcPr>
          <w:p w14:paraId="4DA53E73"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lastRenderedPageBreak/>
              <w:t xml:space="preserve">Artículo </w:t>
            </w:r>
            <w:proofErr w:type="gramStart"/>
            <w:r w:rsidRPr="00D57B83">
              <w:rPr>
                <w:rFonts w:ascii="Arial" w:hAnsi="Arial" w:cs="Arial"/>
                <w:lang w:val="es-CL"/>
              </w:rPr>
              <w:t>tercero.-</w:t>
            </w:r>
            <w:proofErr w:type="gramEnd"/>
            <w:r w:rsidRPr="00D57B83">
              <w:rPr>
                <w:rFonts w:ascii="Arial" w:hAnsi="Arial" w:cs="Arial"/>
                <w:lang w:val="es-CL"/>
              </w:rPr>
              <w:t xml:space="preserve"> Solo se podrá suministrar fentanilo o sus derivados en dependencias de establecimientos hospitalarios o clínicas particulares.</w:t>
            </w:r>
          </w:p>
          <w:p w14:paraId="5759A6DB"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Sin perjuicio de lo establecido en el inciso anterior, por resolución fundada del director del respectivo establecimiento hospitalario o clínica, en casos de enfermedades graves o terminales; tratándose de pacientes que reciban cuidados paliativos; o en caso de pacientes de avanzada edad o con movilidad reducida, se autorizará de manera excepcional el suministro en el domicilio del respectivo paciente.</w:t>
            </w:r>
          </w:p>
          <w:p w14:paraId="56CBE5FC"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58E8423E" w14:textId="77777777" w:rsidTr="005B6CBD">
        <w:tc>
          <w:tcPr>
            <w:tcW w:w="15377" w:type="dxa"/>
          </w:tcPr>
          <w:p w14:paraId="7B0F9876"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Artículo </w:t>
            </w:r>
            <w:proofErr w:type="gramStart"/>
            <w:r w:rsidRPr="00D57B83">
              <w:rPr>
                <w:rFonts w:ascii="Arial" w:hAnsi="Arial" w:cs="Arial"/>
                <w:lang w:val="es-CL"/>
              </w:rPr>
              <w:t>cuarto.-</w:t>
            </w:r>
            <w:proofErr w:type="gramEnd"/>
            <w:r w:rsidRPr="00D57B83">
              <w:rPr>
                <w:rFonts w:ascii="Arial" w:hAnsi="Arial" w:cs="Arial"/>
                <w:lang w:val="es-CL"/>
              </w:rPr>
              <w:t xml:space="preserve"> El facultativo médico que prescriba alguna de las sustancias señaladas en el inciso primero del artículo 1º, sin necesidad médica o terapéutica, será penado con presidio mayor en su grado medio y multa de cuarenta a cuatrocientas unidades tributarias mensuales.</w:t>
            </w:r>
          </w:p>
          <w:p w14:paraId="2058F023"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Atendidas las circunstancias del delito, podrá imponerse, además, la medida de clausura temporal del establecimiento por un plazo no inferior a noventa días ni superior a ciento cincuenta días, aun cuando el autor del hecho sea empleado o dependiente de cualquier modo en dicho establecimiento. En caso de reiteración, podrá imponerse la clausura definitiva y la prohibición perpetua para el autor de tales ilícitos de participar en otro establecimiento de igual naturaleza.</w:t>
            </w:r>
          </w:p>
          <w:p w14:paraId="73171E09"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71ECB858" w14:textId="77777777" w:rsidTr="005B6CBD">
        <w:tc>
          <w:tcPr>
            <w:tcW w:w="15377" w:type="dxa"/>
          </w:tcPr>
          <w:p w14:paraId="55F26BBA"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Artículo </w:t>
            </w:r>
            <w:proofErr w:type="gramStart"/>
            <w:r w:rsidRPr="00D57B83">
              <w:rPr>
                <w:rFonts w:ascii="Arial" w:hAnsi="Arial" w:cs="Arial"/>
                <w:lang w:val="es-CL"/>
              </w:rPr>
              <w:t>quinto.-</w:t>
            </w:r>
            <w:proofErr w:type="gramEnd"/>
            <w:r w:rsidRPr="00D57B83">
              <w:rPr>
                <w:rFonts w:ascii="Arial" w:hAnsi="Arial" w:cs="Arial"/>
                <w:lang w:val="es-CL"/>
              </w:rPr>
              <w:t xml:space="preserve"> Será sancionado con la pena de presidio mayor en su grado mínimo a medio quien falsifique o maliciosamente haga uso de recetas falsas para justificar el consumo de fentanilo o sus derivados. Se excluirá en grado inferior de la pena señalada precedentemente si se acreditare que dicha conducta tenía por objeto la comercialización de las sustancias o su facilitación a un tercero.</w:t>
            </w:r>
          </w:p>
          <w:p w14:paraId="0B26FE0C"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3E30619E" w14:textId="77777777" w:rsidTr="005B6CBD">
        <w:tc>
          <w:tcPr>
            <w:tcW w:w="15377" w:type="dxa"/>
          </w:tcPr>
          <w:p w14:paraId="1256F988" w14:textId="77777777" w:rsidR="005B6CBD" w:rsidRPr="00D57B83" w:rsidRDefault="005B6CBD" w:rsidP="00D57B83">
            <w:pPr>
              <w:pStyle w:val="Textoindependiente"/>
              <w:spacing w:before="142" w:line="276" w:lineRule="auto"/>
              <w:ind w:left="142" w:right="141"/>
              <w:jc w:val="both"/>
              <w:rPr>
                <w:rFonts w:ascii="Arial" w:hAnsi="Arial" w:cs="Arial"/>
                <w:lang w:val="es-CL"/>
              </w:rPr>
            </w:pPr>
          </w:p>
          <w:p w14:paraId="2DAF9460" w14:textId="3536C51F"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Artículo </w:t>
            </w:r>
            <w:proofErr w:type="gramStart"/>
            <w:r w:rsidRPr="00D57B83">
              <w:rPr>
                <w:rFonts w:ascii="Arial" w:hAnsi="Arial" w:cs="Arial"/>
                <w:lang w:val="es-CL"/>
              </w:rPr>
              <w:t>sexto.-</w:t>
            </w:r>
            <w:proofErr w:type="gramEnd"/>
            <w:r w:rsidRPr="00D57B83">
              <w:rPr>
                <w:rFonts w:ascii="Arial" w:hAnsi="Arial" w:cs="Arial"/>
                <w:lang w:val="es-CL"/>
              </w:rPr>
              <w:t xml:space="preserve"> No procederán respecto de los delitos sancionados en esta ley, las penas sustitutivas del artículo </w:t>
            </w:r>
            <w:r>
              <w:rPr>
                <w:rStyle w:val="Refdenotaalpie"/>
                <w:rFonts w:ascii="Arial" w:hAnsi="Arial" w:cs="Arial"/>
                <w:lang w:val="es-CL"/>
              </w:rPr>
              <w:footnoteReference w:id="1"/>
            </w:r>
            <w:r w:rsidRPr="00D57B83">
              <w:rPr>
                <w:rFonts w:ascii="Arial" w:hAnsi="Arial" w:cs="Arial"/>
                <w:lang w:val="es-CL"/>
              </w:rPr>
              <w:t xml:space="preserve">1° de la ley N°18.216, con </w:t>
            </w:r>
            <w:r w:rsidRPr="00D57B83">
              <w:rPr>
                <w:rFonts w:ascii="Arial" w:hAnsi="Arial" w:cs="Arial"/>
                <w:lang w:val="es-CL"/>
              </w:rPr>
              <w:lastRenderedPageBreak/>
              <w:t xml:space="preserve">excepción de la expulsión establecida en el </w:t>
            </w:r>
            <w:r>
              <w:rPr>
                <w:rStyle w:val="Refdenotaalpie"/>
                <w:rFonts w:ascii="Arial" w:hAnsi="Arial" w:cs="Arial"/>
                <w:lang w:val="es-CL"/>
              </w:rPr>
              <w:footnoteReference w:id="2"/>
            </w:r>
            <w:r w:rsidRPr="00D57B83">
              <w:rPr>
                <w:rFonts w:ascii="Arial" w:hAnsi="Arial" w:cs="Arial"/>
                <w:lang w:val="es-CL"/>
              </w:rPr>
              <w:t>artículo 34 de dicho cuerpo legal.</w:t>
            </w:r>
          </w:p>
          <w:p w14:paraId="43DBE2AB" w14:textId="77777777" w:rsidR="005B6CBD" w:rsidRPr="00D57B83" w:rsidRDefault="005B6CBD" w:rsidP="00D57B83">
            <w:pPr>
              <w:pStyle w:val="Textoindependiente"/>
              <w:spacing w:before="142" w:line="276" w:lineRule="auto"/>
              <w:ind w:left="142" w:right="141"/>
              <w:jc w:val="both"/>
              <w:rPr>
                <w:rFonts w:ascii="Arial" w:hAnsi="Arial" w:cs="Arial"/>
                <w:lang w:val="es-CL"/>
              </w:rPr>
            </w:pPr>
          </w:p>
          <w:p w14:paraId="7F88CD13"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4BC234F1" w14:textId="77777777" w:rsidTr="005B6CBD">
        <w:tc>
          <w:tcPr>
            <w:tcW w:w="15377" w:type="dxa"/>
          </w:tcPr>
          <w:p w14:paraId="4B0D4979" w14:textId="37394A22"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lastRenderedPageBreak/>
              <w:t xml:space="preserve">Artículo </w:t>
            </w:r>
            <w:proofErr w:type="gramStart"/>
            <w:r w:rsidRPr="00D57B83">
              <w:rPr>
                <w:rFonts w:ascii="Arial" w:hAnsi="Arial" w:cs="Arial"/>
                <w:lang w:val="es-CL"/>
              </w:rPr>
              <w:t>séptimo.-</w:t>
            </w:r>
            <w:proofErr w:type="gramEnd"/>
            <w:r w:rsidRPr="00D57B83">
              <w:rPr>
                <w:rFonts w:ascii="Arial" w:hAnsi="Arial" w:cs="Arial"/>
                <w:lang w:val="es-CL"/>
              </w:rPr>
              <w:t xml:space="preserve"> Si el fiscal, con acuerdo del imputado, solicitare la suspensión condicional del procedimiento de conformidad con lo dispuesto en el </w:t>
            </w:r>
            <w:r>
              <w:rPr>
                <w:rStyle w:val="Refdenotaalpie"/>
                <w:rFonts w:ascii="Arial" w:hAnsi="Arial" w:cs="Arial"/>
                <w:lang w:val="es-CL"/>
              </w:rPr>
              <w:footnoteReference w:id="3"/>
            </w:r>
            <w:r w:rsidRPr="00D57B83">
              <w:rPr>
                <w:rFonts w:ascii="Arial" w:hAnsi="Arial" w:cs="Arial"/>
                <w:lang w:val="es-CL"/>
              </w:rPr>
              <w:t xml:space="preserve">artículo 237 del Código Procesal Penal, podrá disponerse como condición por cumplir el ingreso a programas de prevención </w:t>
            </w:r>
            <w:r w:rsidRPr="00D57B83">
              <w:rPr>
                <w:rFonts w:ascii="Arial" w:hAnsi="Arial" w:cs="Arial"/>
                <w:lang w:val="es-CL"/>
              </w:rPr>
              <w:lastRenderedPageBreak/>
              <w:t>del consumo de</w:t>
            </w:r>
          </w:p>
          <w:p w14:paraId="57C88285"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 </w:t>
            </w:r>
          </w:p>
          <w:p w14:paraId="424400CF"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drogas, tratamiento y rehabilitación de las personas afectadas por la drogadicción.</w:t>
            </w:r>
          </w:p>
          <w:p w14:paraId="45DFCC88" w14:textId="77777777" w:rsidR="005B6CBD" w:rsidRPr="00D57B83" w:rsidRDefault="005B6CBD" w:rsidP="00D57B83">
            <w:pPr>
              <w:pStyle w:val="Textoindependiente"/>
              <w:spacing w:before="142" w:line="276" w:lineRule="auto"/>
              <w:ind w:left="142" w:right="141"/>
              <w:jc w:val="both"/>
              <w:rPr>
                <w:rFonts w:ascii="Arial" w:hAnsi="Arial" w:cs="Arial"/>
                <w:lang w:val="es-CL"/>
              </w:rPr>
            </w:pPr>
          </w:p>
          <w:p w14:paraId="43A92A22"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3D8A3B5F" w14:textId="77777777" w:rsidTr="005B6CBD">
        <w:tc>
          <w:tcPr>
            <w:tcW w:w="15377" w:type="dxa"/>
          </w:tcPr>
          <w:p w14:paraId="32EC5FA3"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lastRenderedPageBreak/>
              <w:t xml:space="preserve">Artículo </w:t>
            </w:r>
            <w:proofErr w:type="gramStart"/>
            <w:r w:rsidRPr="00D57B83">
              <w:rPr>
                <w:rFonts w:ascii="Arial" w:hAnsi="Arial" w:cs="Arial"/>
                <w:lang w:val="es-CL"/>
              </w:rPr>
              <w:t>octavo.-</w:t>
            </w:r>
            <w:proofErr w:type="gramEnd"/>
            <w:r w:rsidRPr="00D57B83">
              <w:rPr>
                <w:rFonts w:ascii="Arial" w:hAnsi="Arial" w:cs="Arial"/>
                <w:lang w:val="es-CL"/>
              </w:rPr>
              <w:t xml:space="preserve"> Los que se asociaren u organizaren con el objeto de cometer alguno de los delitos contemplados en esta ley serán sancionados, por este solo hecho, según las normas que siguen:</w:t>
            </w:r>
          </w:p>
          <w:p w14:paraId="311DC76F"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1.- Con presidio mayor en sus grados medio a máximo, al que financie de cualquier forma, ejerza el mando o dirección, o planifique el o los delitos que se propongan.</w:t>
            </w:r>
          </w:p>
          <w:p w14:paraId="5E78B148"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2.- Con presidio mayor en sus grados mínimo a medio, al que suministre vehículos, armas, municiones, instrumentos, alojamientos, escondite, </w:t>
            </w:r>
            <w:r w:rsidRPr="00D57B83">
              <w:rPr>
                <w:rFonts w:ascii="Arial" w:hAnsi="Arial" w:cs="Arial"/>
                <w:lang w:val="es-CL"/>
              </w:rPr>
              <w:lastRenderedPageBreak/>
              <w:t>lugar de reunión o cualquiera otra forma de colaboración para la consecución de los fines de la organización</w:t>
            </w:r>
          </w:p>
          <w:p w14:paraId="57360DB1" w14:textId="462F8D73"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Si el autor, cómplice o encubridor del delito establecido en este artículo cometiere, además, alguno de los delitos contemplados en esta ley, se estará a lo dispuesto en el </w:t>
            </w:r>
            <w:r>
              <w:rPr>
                <w:rStyle w:val="Refdenotaalpie"/>
                <w:rFonts w:ascii="Arial" w:hAnsi="Arial" w:cs="Arial"/>
                <w:lang w:val="es-CL"/>
              </w:rPr>
              <w:footnoteReference w:id="4"/>
            </w:r>
            <w:r w:rsidRPr="00D57B83">
              <w:rPr>
                <w:rFonts w:ascii="Arial" w:hAnsi="Arial" w:cs="Arial"/>
                <w:lang w:val="es-CL"/>
              </w:rPr>
              <w:t>artículo 74 del Código Penal para los efectos de la aplicación de la pena.</w:t>
            </w:r>
          </w:p>
          <w:p w14:paraId="4FB826C7" w14:textId="77777777" w:rsidR="005B6CBD" w:rsidRPr="00D57B83" w:rsidRDefault="005B6CBD" w:rsidP="00D57B83">
            <w:pPr>
              <w:pStyle w:val="Textoindependiente"/>
              <w:spacing w:before="142" w:line="276" w:lineRule="auto"/>
              <w:ind w:left="142" w:right="141"/>
              <w:jc w:val="both"/>
              <w:rPr>
                <w:rFonts w:ascii="Arial" w:hAnsi="Arial" w:cs="Arial"/>
                <w:lang w:val="es-CL"/>
              </w:rPr>
            </w:pPr>
          </w:p>
          <w:p w14:paraId="2FE69FB9"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106D3C62" w14:textId="77777777" w:rsidTr="005B6CBD">
        <w:tc>
          <w:tcPr>
            <w:tcW w:w="15377" w:type="dxa"/>
          </w:tcPr>
          <w:p w14:paraId="0103F175"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lastRenderedPageBreak/>
              <w:t xml:space="preserve">Artículo </w:t>
            </w:r>
            <w:proofErr w:type="gramStart"/>
            <w:r w:rsidRPr="00D57B83">
              <w:rPr>
                <w:rFonts w:ascii="Arial" w:hAnsi="Arial" w:cs="Arial"/>
                <w:lang w:val="es-CL"/>
              </w:rPr>
              <w:t>noveno.-</w:t>
            </w:r>
            <w:proofErr w:type="gramEnd"/>
            <w:r w:rsidRPr="00D57B83">
              <w:rPr>
                <w:rFonts w:ascii="Arial" w:hAnsi="Arial" w:cs="Arial"/>
                <w:lang w:val="es-CL"/>
              </w:rPr>
              <w:t xml:space="preserve"> A los condenados por los delitos de que trata esta ley que fueren de nacionalidad extranjera y se les hubiere impuesto una pena equivalente o superior a la de 5 años y 1 día de presidio mayor en su grado mínimo se les impondrá asimismo la pena accesoria de expulsión del territorio nacional con prohibición de reingreso a éste durante el lapso de hasta 20 años, según la gravedad del delito cometido.</w:t>
            </w:r>
          </w:p>
          <w:p w14:paraId="0F52B520" w14:textId="5CF46656"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Para el cumplimiento de esta pena accesoria, el tribunal que haya dictado sentencia condenatoria definitiva deberá comunicarla al Servicio Nacional de Migraciones, y se procederá de conformidad con lo dispuesto en el </w:t>
            </w:r>
            <w:r>
              <w:rPr>
                <w:rStyle w:val="Refdenotaalpie"/>
                <w:rFonts w:ascii="Arial" w:hAnsi="Arial" w:cs="Arial"/>
                <w:lang w:val="es-CL"/>
              </w:rPr>
              <w:footnoteReference w:id="5"/>
            </w:r>
            <w:r w:rsidRPr="00D57B83">
              <w:rPr>
                <w:rFonts w:ascii="Arial" w:hAnsi="Arial" w:cs="Arial"/>
                <w:lang w:val="es-CL"/>
              </w:rPr>
              <w:t xml:space="preserve">artículo 134 de la ley </w:t>
            </w:r>
            <w:proofErr w:type="spellStart"/>
            <w:r w:rsidRPr="00D57B83">
              <w:rPr>
                <w:rFonts w:ascii="Arial" w:hAnsi="Arial" w:cs="Arial"/>
                <w:lang w:val="es-CL"/>
              </w:rPr>
              <w:t>N°</w:t>
            </w:r>
            <w:proofErr w:type="spellEnd"/>
            <w:r w:rsidRPr="00D57B83">
              <w:rPr>
                <w:rFonts w:ascii="Arial" w:hAnsi="Arial" w:cs="Arial"/>
                <w:lang w:val="es-CL"/>
              </w:rPr>
              <w:t xml:space="preserve"> 21.325, una vez que el condenado </w:t>
            </w:r>
            <w:r w:rsidRPr="00D57B83">
              <w:rPr>
                <w:rFonts w:ascii="Arial" w:hAnsi="Arial" w:cs="Arial"/>
                <w:lang w:val="es-CL"/>
              </w:rPr>
              <w:lastRenderedPageBreak/>
              <w:t>haya cumplido</w:t>
            </w:r>
          </w:p>
          <w:p w14:paraId="72FB5920"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 </w:t>
            </w:r>
          </w:p>
          <w:p w14:paraId="2F97176D"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íntegramente la pena de presidio impuesta ya sea por su cumplimiento efectivo, por haber accedido al beneficio de la libertad condicional, de rebaja de condena o por haber sido indultado.</w:t>
            </w:r>
          </w:p>
          <w:p w14:paraId="526A76F4" w14:textId="77777777" w:rsidR="005B6CBD" w:rsidRPr="00D57B83" w:rsidRDefault="005B6CBD" w:rsidP="00D57B83">
            <w:pPr>
              <w:pStyle w:val="Textoindependiente"/>
              <w:spacing w:before="142" w:line="276" w:lineRule="auto"/>
              <w:ind w:left="142" w:right="141"/>
              <w:jc w:val="both"/>
              <w:rPr>
                <w:rFonts w:ascii="Arial" w:hAnsi="Arial" w:cs="Arial"/>
                <w:lang w:val="es-CL"/>
              </w:rPr>
            </w:pPr>
          </w:p>
          <w:p w14:paraId="14976E40"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67EC6B04" w14:textId="77777777" w:rsidTr="005B6CBD">
        <w:tc>
          <w:tcPr>
            <w:tcW w:w="15377" w:type="dxa"/>
          </w:tcPr>
          <w:p w14:paraId="1A70F16E"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lastRenderedPageBreak/>
              <w:t xml:space="preserve">Artículo </w:t>
            </w:r>
            <w:proofErr w:type="gramStart"/>
            <w:r w:rsidRPr="00D57B83">
              <w:rPr>
                <w:rFonts w:ascii="Arial" w:hAnsi="Arial" w:cs="Arial"/>
                <w:lang w:val="es-CL"/>
              </w:rPr>
              <w:t>décimo.-</w:t>
            </w:r>
            <w:proofErr w:type="gramEnd"/>
            <w:r w:rsidRPr="00D57B83">
              <w:rPr>
                <w:rFonts w:ascii="Arial" w:hAnsi="Arial" w:cs="Arial"/>
                <w:lang w:val="es-CL"/>
              </w:rPr>
              <w:t xml:space="preserve"> La conspiración para cometer los delitos contemplados en esta ley será sancionada con la pena asignada al delito respectivo, rebajada en un grado.</w:t>
            </w:r>
          </w:p>
          <w:p w14:paraId="79EAC1C1"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Asimismo, los delitos de que trata esta ley se sancionarán como consumados desde que haya principio de ejecución.</w:t>
            </w:r>
          </w:p>
          <w:p w14:paraId="11A7A833"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0F05B943" w14:textId="77777777" w:rsidTr="005B6CBD">
        <w:tc>
          <w:tcPr>
            <w:tcW w:w="15377" w:type="dxa"/>
          </w:tcPr>
          <w:p w14:paraId="1A5FF32D" w14:textId="77777777" w:rsidR="005B6CBD" w:rsidRPr="00D57B83"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Artículo </w:t>
            </w:r>
            <w:proofErr w:type="gramStart"/>
            <w:r w:rsidRPr="00D57B83">
              <w:rPr>
                <w:rFonts w:ascii="Arial" w:hAnsi="Arial" w:cs="Arial"/>
                <w:lang w:val="es-CL"/>
              </w:rPr>
              <w:t>undécimo.-</w:t>
            </w:r>
            <w:proofErr w:type="gramEnd"/>
            <w:r w:rsidRPr="00D57B83">
              <w:rPr>
                <w:rFonts w:ascii="Arial" w:hAnsi="Arial" w:cs="Arial"/>
                <w:lang w:val="es-CL"/>
              </w:rPr>
              <w:t xml:space="preserve"> Serán aplicables a la persecución, investigación y sanción de las conductas señaladas en esta ley las normas contenidas en los párrafos 2 y 3 del título I, y aquellas contenidas en los títulos II y III de la ley </w:t>
            </w:r>
            <w:proofErr w:type="spellStart"/>
            <w:r w:rsidRPr="00D57B83">
              <w:rPr>
                <w:rFonts w:ascii="Arial" w:hAnsi="Arial" w:cs="Arial"/>
                <w:lang w:val="es-CL"/>
              </w:rPr>
              <w:t>N°</w:t>
            </w:r>
            <w:proofErr w:type="spellEnd"/>
            <w:r w:rsidRPr="00D57B83">
              <w:rPr>
                <w:rFonts w:ascii="Arial" w:hAnsi="Arial" w:cs="Arial"/>
                <w:lang w:val="es-CL"/>
              </w:rPr>
              <w:t xml:space="preserve"> 20.000.</w:t>
            </w:r>
          </w:p>
          <w:p w14:paraId="6E00CF73" w14:textId="77777777" w:rsidR="005B6CBD" w:rsidRPr="00D57B83" w:rsidRDefault="005B6CBD" w:rsidP="00D57B83">
            <w:pPr>
              <w:pStyle w:val="Textoindependiente"/>
              <w:spacing w:before="142" w:line="276" w:lineRule="auto"/>
              <w:ind w:left="142" w:right="141"/>
              <w:jc w:val="both"/>
              <w:rPr>
                <w:rFonts w:ascii="Arial" w:hAnsi="Arial" w:cs="Arial"/>
                <w:lang w:val="es-CL"/>
              </w:rPr>
            </w:pPr>
          </w:p>
          <w:p w14:paraId="5A266BE3" w14:textId="77777777" w:rsidR="005B6CBD" w:rsidRPr="00D57B83" w:rsidRDefault="005B6CBD" w:rsidP="00D57B83">
            <w:pPr>
              <w:pStyle w:val="Textoindependiente"/>
              <w:spacing w:before="142" w:line="276" w:lineRule="auto"/>
              <w:ind w:left="142" w:right="141"/>
              <w:jc w:val="both"/>
              <w:rPr>
                <w:rFonts w:ascii="Arial" w:hAnsi="Arial" w:cs="Arial"/>
                <w:lang w:val="es-CL"/>
              </w:rPr>
            </w:pPr>
          </w:p>
        </w:tc>
      </w:tr>
      <w:tr w:rsidR="005B6CBD" w:rsidRPr="00C30DDE" w14:paraId="6D2D01B8" w14:textId="77777777" w:rsidTr="005B6CBD">
        <w:tc>
          <w:tcPr>
            <w:tcW w:w="15377" w:type="dxa"/>
          </w:tcPr>
          <w:p w14:paraId="7BA1AF57" w14:textId="77777777" w:rsidR="005B6CBD" w:rsidRPr="00D57B83" w:rsidRDefault="005B6CBD" w:rsidP="00D57B83">
            <w:pPr>
              <w:pStyle w:val="Textoindependiente"/>
              <w:spacing w:before="142" w:line="276" w:lineRule="auto"/>
              <w:ind w:left="142" w:right="141"/>
              <w:jc w:val="both"/>
              <w:rPr>
                <w:rFonts w:ascii="Arial" w:hAnsi="Arial" w:cs="Arial"/>
                <w:lang w:val="es-CL"/>
              </w:rPr>
            </w:pPr>
          </w:p>
          <w:p w14:paraId="373E5419" w14:textId="04D0910C" w:rsidR="005B6CBD" w:rsidRPr="00C30DDE" w:rsidRDefault="005B6CBD" w:rsidP="00D57B83">
            <w:pPr>
              <w:pStyle w:val="Textoindependiente"/>
              <w:spacing w:before="142" w:line="276" w:lineRule="auto"/>
              <w:ind w:left="142" w:right="141"/>
              <w:jc w:val="both"/>
              <w:rPr>
                <w:rFonts w:ascii="Arial" w:hAnsi="Arial" w:cs="Arial"/>
                <w:lang w:val="es-CL"/>
              </w:rPr>
            </w:pPr>
            <w:r w:rsidRPr="00D57B83">
              <w:rPr>
                <w:rFonts w:ascii="Arial" w:hAnsi="Arial" w:cs="Arial"/>
                <w:lang w:val="es-CL"/>
              </w:rPr>
              <w:t xml:space="preserve">Artículo </w:t>
            </w:r>
            <w:proofErr w:type="gramStart"/>
            <w:r w:rsidRPr="00D57B83">
              <w:rPr>
                <w:rFonts w:ascii="Arial" w:hAnsi="Arial" w:cs="Arial"/>
                <w:lang w:val="es-CL"/>
              </w:rPr>
              <w:t>transitorio.-</w:t>
            </w:r>
            <w:proofErr w:type="gramEnd"/>
            <w:r w:rsidRPr="00D57B83">
              <w:rPr>
                <w:rFonts w:ascii="Arial" w:hAnsi="Arial" w:cs="Arial"/>
                <w:lang w:val="es-CL"/>
              </w:rPr>
              <w:t xml:space="preserve"> Los hechos perpetrados con anterioridad a la entrada en vigor de la presente ley, así como las penas y las demás consecuencias que correspondiere imponer por ellos, serán determinados conforme a la ley vigente en el momento de su perpetración.”.</w:t>
            </w:r>
          </w:p>
        </w:tc>
      </w:tr>
    </w:tbl>
    <w:p w14:paraId="72A7EA59" w14:textId="77777777" w:rsidR="0068065C" w:rsidRPr="00C30DDE" w:rsidRDefault="0068065C" w:rsidP="004F6513">
      <w:pPr>
        <w:pStyle w:val="Encabezado"/>
        <w:tabs>
          <w:tab w:val="clear" w:pos="4252"/>
          <w:tab w:val="clear" w:pos="8504"/>
        </w:tabs>
        <w:rPr>
          <w:rFonts w:ascii="Arial" w:hAnsi="Arial" w:cs="Arial"/>
          <w:sz w:val="24"/>
          <w:szCs w:val="24"/>
        </w:rPr>
      </w:pPr>
    </w:p>
    <w:sectPr w:rsidR="0068065C" w:rsidRPr="00C30DDE" w:rsidSect="00561FF0">
      <w:headerReference w:type="default" r:id="rId11"/>
      <w:footerReference w:type="default" r:id="rId12"/>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A55A9" w14:textId="77777777" w:rsidR="009F6159" w:rsidRDefault="009F6159">
      <w:r>
        <w:separator/>
      </w:r>
    </w:p>
  </w:endnote>
  <w:endnote w:type="continuationSeparator" w:id="0">
    <w:p w14:paraId="1C7C8D79" w14:textId="77777777" w:rsidR="009F6159" w:rsidRDefault="009F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62C15" w14:textId="77777777" w:rsidR="009F6159" w:rsidRDefault="009F6159">
      <w:r>
        <w:separator/>
      </w:r>
    </w:p>
  </w:footnote>
  <w:footnote w:type="continuationSeparator" w:id="0">
    <w:p w14:paraId="67B81E93" w14:textId="77777777" w:rsidR="009F6159" w:rsidRDefault="009F6159">
      <w:r>
        <w:continuationSeparator/>
      </w:r>
    </w:p>
  </w:footnote>
  <w:footnote w:id="1">
    <w:p w14:paraId="412D13E5" w14:textId="77777777" w:rsidR="005B6CBD" w:rsidRPr="0021752C" w:rsidRDefault="005B6CBD" w:rsidP="0021752C">
      <w:pPr>
        <w:pStyle w:val="Textonotapie"/>
        <w:rPr>
          <w:lang w:val="es-CL"/>
        </w:rPr>
      </w:pPr>
      <w:r>
        <w:rPr>
          <w:rStyle w:val="Refdenotaalpie"/>
        </w:rPr>
        <w:footnoteRef/>
      </w:r>
      <w:r>
        <w:t xml:space="preserve"> </w:t>
      </w:r>
      <w:r w:rsidRPr="0021752C">
        <w:rPr>
          <w:lang w:val="es-CL"/>
        </w:rPr>
        <w:t> Artículo 1°.- La ejecución de las penas privativas o restrictivas de libertad podrá sustituirse por el tribunal que las imponga, por alguna de las siguientes penas:</w:t>
      </w:r>
    </w:p>
    <w:p w14:paraId="79611E2A" w14:textId="77777777" w:rsidR="005B6CBD" w:rsidRPr="0021752C" w:rsidRDefault="005B6CBD" w:rsidP="0021752C">
      <w:pPr>
        <w:pStyle w:val="Textonotapie"/>
        <w:rPr>
          <w:lang w:val="es-CL"/>
        </w:rPr>
      </w:pPr>
    </w:p>
    <w:p w14:paraId="1DCF39A1" w14:textId="77777777" w:rsidR="005B6CBD" w:rsidRPr="0021752C" w:rsidRDefault="005B6CBD" w:rsidP="0021752C">
      <w:pPr>
        <w:pStyle w:val="Textonotapie"/>
        <w:rPr>
          <w:lang w:val="es-CL"/>
        </w:rPr>
      </w:pPr>
      <w:r w:rsidRPr="0021752C">
        <w:rPr>
          <w:lang w:val="es-CL"/>
        </w:rPr>
        <w:t>    a) Remisión condicional.</w:t>
      </w:r>
    </w:p>
    <w:p w14:paraId="31E29F72" w14:textId="77777777" w:rsidR="005B6CBD" w:rsidRPr="0021752C" w:rsidRDefault="005B6CBD" w:rsidP="0021752C">
      <w:pPr>
        <w:pStyle w:val="Textonotapie"/>
        <w:rPr>
          <w:lang w:val="es-CL"/>
        </w:rPr>
      </w:pPr>
      <w:r w:rsidRPr="0021752C">
        <w:rPr>
          <w:lang w:val="es-CL"/>
        </w:rPr>
        <w:t>    b) Reclusión parcial.</w:t>
      </w:r>
    </w:p>
    <w:p w14:paraId="5E0B969A" w14:textId="77777777" w:rsidR="005B6CBD" w:rsidRPr="0021752C" w:rsidRDefault="005B6CBD" w:rsidP="0021752C">
      <w:pPr>
        <w:pStyle w:val="Textonotapie"/>
        <w:rPr>
          <w:lang w:val="es-CL"/>
        </w:rPr>
      </w:pPr>
      <w:r w:rsidRPr="0021752C">
        <w:rPr>
          <w:lang w:val="es-CL"/>
        </w:rPr>
        <w:t>    c) Libertad vigilada.</w:t>
      </w:r>
    </w:p>
    <w:p w14:paraId="7D9D8901" w14:textId="77777777" w:rsidR="005B6CBD" w:rsidRPr="0021752C" w:rsidRDefault="005B6CBD" w:rsidP="0021752C">
      <w:pPr>
        <w:pStyle w:val="Textonotapie"/>
        <w:rPr>
          <w:lang w:val="es-CL"/>
        </w:rPr>
      </w:pPr>
      <w:r w:rsidRPr="0021752C">
        <w:rPr>
          <w:lang w:val="es-CL"/>
        </w:rPr>
        <w:t>    d) Libertad vigilada intensiva.</w:t>
      </w:r>
    </w:p>
    <w:p w14:paraId="1F9DDD42" w14:textId="77777777" w:rsidR="005B6CBD" w:rsidRPr="0021752C" w:rsidRDefault="005B6CBD" w:rsidP="0021752C">
      <w:pPr>
        <w:pStyle w:val="Textonotapie"/>
        <w:rPr>
          <w:lang w:val="es-CL"/>
        </w:rPr>
      </w:pPr>
      <w:r w:rsidRPr="0021752C">
        <w:rPr>
          <w:lang w:val="es-CL"/>
        </w:rPr>
        <w:t>    e) Expulsión, en el caso señalado en el artículo 34.</w:t>
      </w:r>
    </w:p>
    <w:p w14:paraId="063DE40D" w14:textId="77777777" w:rsidR="005B6CBD" w:rsidRPr="0021752C" w:rsidRDefault="005B6CBD" w:rsidP="0021752C">
      <w:pPr>
        <w:pStyle w:val="Textonotapie"/>
        <w:rPr>
          <w:lang w:val="es-CL"/>
        </w:rPr>
      </w:pPr>
      <w:r w:rsidRPr="0021752C">
        <w:rPr>
          <w:lang w:val="es-CL"/>
        </w:rPr>
        <w:t>    f) Prestación de servicios en beneficio de la comunidad.</w:t>
      </w:r>
    </w:p>
    <w:p w14:paraId="0F628D9C" w14:textId="77777777" w:rsidR="005B6CBD" w:rsidRPr="0021752C" w:rsidRDefault="005B6CBD" w:rsidP="0021752C">
      <w:pPr>
        <w:pStyle w:val="Textonotapie"/>
        <w:rPr>
          <w:lang w:val="es-CL"/>
        </w:rPr>
      </w:pPr>
    </w:p>
    <w:p w14:paraId="52DF46B4" w14:textId="77777777" w:rsidR="005B6CBD" w:rsidRPr="0021752C" w:rsidRDefault="005B6CBD" w:rsidP="0021752C">
      <w:pPr>
        <w:pStyle w:val="Textonotapie"/>
        <w:rPr>
          <w:lang w:val="es-CL"/>
        </w:rPr>
      </w:pPr>
      <w:r w:rsidRPr="0021752C">
        <w:rPr>
          <w:lang w:val="es-CL"/>
        </w:rPr>
        <w:t>    No procederá la facultad establecida en el inciso precedente ni la del artículo 33 de esta ley, tratándose de los autores de los delitos consumados previstos en los artículos 141, incisos tercero, cuarto y quinto; 142, 150 A, 150 B, 293, 361, 362, 363, 365 bis, 366 incisos primero y segundo, 366 bis, 372 bis, 390, 390 bis, 390 ter, 391 y 411 quáter del Código Penal; o de los delitos o cuasidelitos que se cometan empleando alguna de las armas o elementos mencionados en las letras a), b), c), d) y e) del artículo 2º y en el artículo 3º de la ley Nº 17.798, salvo en los casos en que en la determinación de la pena se hubiere considerado la circunstancia primera establecida en el artículo 11 del mismo Código. Tampoco procederá respecto de aquellos delitos contra la vida y la integridad física de funcionarios de Carabineros de Chile, Policía de Investigaciones y Gendarmería de Chile, o de funcionarios de las Fuerzas Armadas y servicios de su dependencia. En estos últimos dos supuestos, cuando los delitos se cometan mientras el funcionario ejerce funciones de resguardo del orden público, de protección de la infraestructura crítica, de resguardo de fronteras y/o funciones de fiscalización.</w:t>
      </w:r>
    </w:p>
    <w:p w14:paraId="5AA84799" w14:textId="77777777" w:rsidR="005B6CBD" w:rsidRPr="0021752C" w:rsidRDefault="005B6CBD" w:rsidP="0021752C">
      <w:pPr>
        <w:pStyle w:val="Textonotapie"/>
        <w:rPr>
          <w:lang w:val="es-CL"/>
        </w:rPr>
      </w:pPr>
    </w:p>
    <w:p w14:paraId="04CF9B1E" w14:textId="77777777" w:rsidR="005B6CBD" w:rsidRPr="0021752C" w:rsidRDefault="005B6CBD" w:rsidP="0021752C">
      <w:pPr>
        <w:pStyle w:val="Textonotapie"/>
        <w:rPr>
          <w:lang w:val="es-CL"/>
        </w:rPr>
      </w:pPr>
      <w:r w:rsidRPr="0021752C">
        <w:rPr>
          <w:lang w:val="es-CL"/>
        </w:rPr>
        <w:t>    En ningún caso podrá imponerse la pena establecida en la letra f) del inciso primero a los condenados por crímenes o simples delitos señalados por las leyes números 20.000, 19.366 y 18.403. No se aplicará ninguna de las penas sustitutivas contempladas en esta ley a las personas que hubieren sido condenadas con anterioridad por alguno de dichos crímenes o simples delitos en virtud de sentencia ejecutoriada, hayan cumplido o no efectivamente la condena.</w:t>
      </w:r>
    </w:p>
    <w:p w14:paraId="2E643AFD" w14:textId="77777777" w:rsidR="005B6CBD" w:rsidRPr="0021752C" w:rsidRDefault="005B6CBD" w:rsidP="0021752C">
      <w:pPr>
        <w:pStyle w:val="Textonotapie"/>
        <w:rPr>
          <w:lang w:val="es-CL"/>
        </w:rPr>
      </w:pPr>
      <w:r w:rsidRPr="0021752C">
        <w:rPr>
          <w:lang w:val="es-CL"/>
        </w:rPr>
        <w:t>    Tratándose de los autores de los delitos consumados que la ley califica como terroristas, no podrán aplicarse las penas señaladas en el inciso primero ni la del artículo 33.</w:t>
      </w:r>
    </w:p>
    <w:p w14:paraId="3615E3AD" w14:textId="77777777" w:rsidR="005B6CBD" w:rsidRPr="0021752C" w:rsidRDefault="005B6CBD" w:rsidP="0021752C">
      <w:pPr>
        <w:pStyle w:val="Textonotapie"/>
        <w:rPr>
          <w:lang w:val="es-CL"/>
        </w:rPr>
      </w:pPr>
      <w:r w:rsidRPr="0021752C">
        <w:rPr>
          <w:lang w:val="es-CL"/>
        </w:rPr>
        <w:t>    Tampoco podrán imponerse las penas establecidas en el inciso primero a los condenados por crímenes o simples delitos contemplados en la ley N° 17.798.</w:t>
      </w:r>
    </w:p>
    <w:p w14:paraId="329326B6" w14:textId="77777777" w:rsidR="005B6CBD" w:rsidRPr="0021752C" w:rsidRDefault="005B6CBD" w:rsidP="0021752C">
      <w:pPr>
        <w:pStyle w:val="Textonotapie"/>
        <w:rPr>
          <w:lang w:val="es-CL"/>
        </w:rPr>
      </w:pPr>
      <w:r w:rsidRPr="0021752C">
        <w:rPr>
          <w:lang w:val="es-CL"/>
        </w:rPr>
        <w:t>    Tratándose de simples delitos previstos en dicha ley, sólo procederán las penas sustitutivas de reclusión parcial y libertad vigilada intensiva.</w:t>
      </w:r>
    </w:p>
    <w:p w14:paraId="1DC52666" w14:textId="77777777" w:rsidR="005B6CBD" w:rsidRPr="0021752C" w:rsidRDefault="005B6CBD" w:rsidP="0021752C">
      <w:pPr>
        <w:pStyle w:val="Textonotapie"/>
        <w:rPr>
          <w:lang w:val="es-CL"/>
        </w:rPr>
      </w:pPr>
      <w:r w:rsidRPr="0021752C">
        <w:rPr>
          <w:lang w:val="es-CL"/>
        </w:rPr>
        <w:t>    Tampoco podrá el tribunal aplicar las penas señaladas en el inciso primero a los autores del delito consumado previsto en el artículo 436, inciso primero, del Código Penal, que hubiesen sido condenados anteriormente por alguno de los delitos contemplados en los artículos 433, 436 y 440 del mismo Código.</w:t>
      </w:r>
    </w:p>
    <w:p w14:paraId="64611FFF" w14:textId="77777777" w:rsidR="005B6CBD" w:rsidRPr="0021752C" w:rsidRDefault="005B6CBD" w:rsidP="0021752C">
      <w:pPr>
        <w:pStyle w:val="Textonotapie"/>
        <w:rPr>
          <w:lang w:val="es-CL"/>
        </w:rPr>
      </w:pPr>
      <w:r w:rsidRPr="0021752C">
        <w:rPr>
          <w:lang w:val="es-CL"/>
        </w:rPr>
        <w:t>    No regirán las prohibiciones dispuestas en los incisos anteriores respecto de quienes se les hubiere reconocido la circunstancia atenuante de cooperación eficaz, cuando ésta fuere procedente de conformidad con la ley.</w:t>
      </w:r>
    </w:p>
    <w:p w14:paraId="38F0814F" w14:textId="77777777" w:rsidR="005B6CBD" w:rsidRPr="0021752C" w:rsidRDefault="005B6CBD" w:rsidP="0021752C">
      <w:pPr>
        <w:pStyle w:val="Textonotapie"/>
        <w:rPr>
          <w:lang w:val="es-CL"/>
        </w:rPr>
      </w:pPr>
      <w:r w:rsidRPr="0021752C">
        <w:rPr>
          <w:lang w:val="es-CL"/>
        </w:rPr>
        <w:t>    Para los efectos de esta ley, no se considerarán las condenas por crimen o simple delito cumplidas, respectivamente, diez o cinco años antes de la comisión del nuevo ilícito.</w:t>
      </w:r>
    </w:p>
    <w:p w14:paraId="1E68CE89" w14:textId="77777777" w:rsidR="005B6CBD" w:rsidRPr="0021752C" w:rsidRDefault="005B6CBD" w:rsidP="0021752C">
      <w:pPr>
        <w:pStyle w:val="Textonotapie"/>
        <w:rPr>
          <w:lang w:val="es-CL"/>
        </w:rPr>
      </w:pPr>
      <w:r w:rsidRPr="0021752C">
        <w:rPr>
          <w:lang w:val="es-CL"/>
        </w:rPr>
        <w:t>    Igualmente, si una misma sentencia impusiere a la persona dos o más penas privativas de libertad, se sumará su duración, y el total que así resulte se considerará como la pena impuesta a efectos de su eventual sustitución y para la aplicación de la pena mixta del artículo 33.</w:t>
      </w:r>
    </w:p>
    <w:p w14:paraId="5783ECF9" w14:textId="77777777" w:rsidR="005B6CBD" w:rsidRPr="0021752C" w:rsidRDefault="005B6CBD" w:rsidP="0021752C">
      <w:pPr>
        <w:pStyle w:val="Textonotapie"/>
        <w:rPr>
          <w:lang w:val="es-CL"/>
        </w:rPr>
      </w:pPr>
      <w:r w:rsidRPr="0021752C">
        <w:rPr>
          <w:lang w:val="es-CL"/>
        </w:rPr>
        <w:t>    Artículo 2°.- En los casos de faltas, regirá lo dispuesto en el artículo 398 del Código Procesal Penal o en la ley Nº 18.287, según sea el tribunal que conozca del proceso.</w:t>
      </w:r>
    </w:p>
    <w:p w14:paraId="6D1C6FB2" w14:textId="7B26E026" w:rsidR="005B6CBD" w:rsidRPr="0021752C" w:rsidRDefault="005B6CBD">
      <w:pPr>
        <w:pStyle w:val="Textonotapie"/>
        <w:rPr>
          <w:lang w:val="es-CL"/>
        </w:rPr>
      </w:pPr>
    </w:p>
  </w:footnote>
  <w:footnote w:id="2">
    <w:p w14:paraId="076C4A81" w14:textId="77777777" w:rsidR="005B6CBD" w:rsidRPr="0021752C" w:rsidRDefault="005B6CBD" w:rsidP="0021752C">
      <w:pPr>
        <w:pStyle w:val="Textonotapie"/>
        <w:rPr>
          <w:lang w:val="es-CL"/>
        </w:rPr>
      </w:pPr>
      <w:r>
        <w:rPr>
          <w:rStyle w:val="Refdenotaalpie"/>
        </w:rPr>
        <w:footnoteRef/>
      </w:r>
      <w:r>
        <w:t xml:space="preserve"> </w:t>
      </w:r>
      <w:r w:rsidRPr="0021752C">
        <w:rPr>
          <w:lang w:val="es-CL"/>
        </w:rPr>
        <w:t xml:space="preserve">Artículo 34.- Si el condenado a una pena igual o inferior a cinco años de presidio o reclusión menor en su grado máximo fuere un extranjero que no residiere legalmente en el país, el juez, de oficio o a petición de parte, podrá sustituir el cumplimiento de dicha pena por la expulsión de aquél del territorio nacional. La misma sustitución se aplicará respecto del extranjero que resida legalmente en el país, a menos que el juez, fundadamente, establezca que su arraigo en el país aconseje no aplicar esta medida, debiendo recabar para estos efectos un informe técnico al Servicio Nacional de Migraciones, el que deberá ser evacuado al tenor del artículo 129 de la Ley de Migración y Extranjería. No procederá esta sustitución respecto de los delitos cometidos con infracción de la ley </w:t>
      </w:r>
      <w:r w:rsidRPr="0021752C">
        <w:rPr>
          <w:lang w:val="es-CL"/>
        </w:rPr>
        <w:t>Nº 20.000 y de los incisos segundo, tercero, cuarto y quinto del artículo 168 de la Ordenanza de Aduanas, ni de los condenados por los delitos contemplados en el párrafo V bis, de los delitos de tráfico ilícito de migrantes y trata de personas, del Título octavo del Libro Segundo del Código Penal.</w:t>
      </w:r>
    </w:p>
    <w:p w14:paraId="30F71B69" w14:textId="77777777" w:rsidR="005B6CBD" w:rsidRPr="0021752C" w:rsidRDefault="005B6CBD" w:rsidP="0021752C">
      <w:pPr>
        <w:pStyle w:val="Textonotapie"/>
        <w:rPr>
          <w:lang w:val="es-CL"/>
        </w:rPr>
      </w:pPr>
      <w:r w:rsidRPr="0021752C">
        <w:rPr>
          <w:lang w:val="es-CL"/>
        </w:rPr>
        <w:t xml:space="preserve">    A la audiencia que tenga por objetivo resolver acerca de la posible sustitución de la pena privativa de libertad por la expulsión del territorio nacional deberá ser citado el Ministerio del Interior y Seguridad Pública, a fin de ser oído. Si se ordenare la expulsión, deberá oficiarse a la Policía de Investigaciones de Chile para efectos de que lleve a cabo la implementación de esta pena y se ordenará la internación del condenado hasta la ejecución de </w:t>
      </w:r>
      <w:r w:rsidRPr="0021752C">
        <w:rPr>
          <w:lang w:val="es-CL"/>
        </w:rPr>
        <w:t>la misma, debiendo informarse de ello al Servicio Nacional de Migraciones.</w:t>
      </w:r>
    </w:p>
    <w:p w14:paraId="38BFC80E" w14:textId="77777777" w:rsidR="005B6CBD" w:rsidRPr="0021752C" w:rsidRDefault="005B6CBD" w:rsidP="0021752C">
      <w:pPr>
        <w:pStyle w:val="Textonotapie"/>
        <w:rPr>
          <w:lang w:val="es-CL"/>
        </w:rPr>
      </w:pPr>
      <w:r w:rsidRPr="0021752C">
        <w:rPr>
          <w:lang w:val="es-CL"/>
        </w:rPr>
        <w:t>    El condenado extranjero al que se le aplicare la pena de expulsión no podrá regresar al territorio nacional en un plazo de diez años, contado desde la fecha de la sustitución de la pena.</w:t>
      </w:r>
    </w:p>
    <w:p w14:paraId="04E5E65A" w14:textId="77777777" w:rsidR="005B6CBD" w:rsidRPr="0021752C" w:rsidRDefault="005B6CBD" w:rsidP="0021752C">
      <w:pPr>
        <w:pStyle w:val="Textonotapie"/>
        <w:rPr>
          <w:lang w:val="es-CL"/>
        </w:rPr>
      </w:pPr>
      <w:r w:rsidRPr="0021752C">
        <w:rPr>
          <w:lang w:val="es-CL"/>
        </w:rPr>
        <w:t>    En caso que el condenado regresare al territorio nacional dentro del plazo señalado en el inciso anterior, se revocará la pena de expulsión, debiendo cumplirse el saldo de la pena privativa de libertad originalmente impuesta.</w:t>
      </w:r>
    </w:p>
    <w:p w14:paraId="1134FD39" w14:textId="02C2B6C2" w:rsidR="005B6CBD" w:rsidRPr="0021752C" w:rsidRDefault="005B6CBD">
      <w:pPr>
        <w:pStyle w:val="Textonotapie"/>
        <w:rPr>
          <w:lang w:val="es-CL"/>
        </w:rPr>
      </w:pPr>
    </w:p>
  </w:footnote>
  <w:footnote w:id="3">
    <w:p w14:paraId="4399597F" w14:textId="77777777" w:rsidR="005B6CBD" w:rsidRPr="0021752C" w:rsidRDefault="005B6CBD" w:rsidP="0021752C">
      <w:pPr>
        <w:pStyle w:val="Textonotapie"/>
        <w:jc w:val="both"/>
        <w:rPr>
          <w:lang w:val="es-CL"/>
        </w:rPr>
      </w:pPr>
      <w:r>
        <w:rPr>
          <w:rStyle w:val="Refdenotaalpie"/>
        </w:rPr>
        <w:footnoteRef/>
      </w:r>
      <w:r>
        <w:t xml:space="preserve"> </w:t>
      </w:r>
      <w:r w:rsidRPr="0021752C">
        <w:rPr>
          <w:lang w:val="es-CL"/>
        </w:rPr>
        <w:t>Artículo 237.- Suspensión condicional del procedimiento. El fiscal, con el acuerdo del imputado, podrá solicitar al juez de garantía la suspensión condicional del procedimiento.</w:t>
      </w:r>
    </w:p>
    <w:p w14:paraId="6D0B26CA" w14:textId="77777777" w:rsidR="005B6CBD" w:rsidRPr="0021752C" w:rsidRDefault="005B6CBD" w:rsidP="0021752C">
      <w:pPr>
        <w:pStyle w:val="Textonotapie"/>
        <w:jc w:val="both"/>
        <w:rPr>
          <w:lang w:val="es-CL"/>
        </w:rPr>
      </w:pPr>
      <w:r w:rsidRPr="0021752C">
        <w:rPr>
          <w:lang w:val="es-CL"/>
        </w:rPr>
        <w:t>    El juez podrá requerir del ministerio público los antecedentes que estimare necesarios para resolver.</w:t>
      </w:r>
    </w:p>
    <w:p w14:paraId="5FDC026D" w14:textId="77777777" w:rsidR="005B6CBD" w:rsidRPr="0021752C" w:rsidRDefault="005B6CBD" w:rsidP="0021752C">
      <w:pPr>
        <w:pStyle w:val="Textonotapie"/>
        <w:jc w:val="both"/>
        <w:rPr>
          <w:lang w:val="es-CL"/>
        </w:rPr>
      </w:pPr>
      <w:r w:rsidRPr="0021752C">
        <w:rPr>
          <w:lang w:val="es-CL"/>
        </w:rPr>
        <w:t>    La suspensión condicional del procedimiento podrá decretarse:</w:t>
      </w:r>
    </w:p>
    <w:p w14:paraId="1655F0EF" w14:textId="77777777" w:rsidR="005B6CBD" w:rsidRPr="0021752C" w:rsidRDefault="005B6CBD" w:rsidP="0021752C">
      <w:pPr>
        <w:pStyle w:val="Textonotapie"/>
        <w:jc w:val="both"/>
        <w:rPr>
          <w:lang w:val="es-CL"/>
        </w:rPr>
      </w:pPr>
      <w:r w:rsidRPr="0021752C">
        <w:rPr>
          <w:lang w:val="es-CL"/>
        </w:rPr>
        <w:t>    a) Si la pena que pudiere imponerse al imputado, en el evento de dictarse sentencia condenatoria, no excediere de tres años de privación de libertad;</w:t>
      </w:r>
    </w:p>
    <w:p w14:paraId="7A08B26C" w14:textId="77777777" w:rsidR="005B6CBD" w:rsidRPr="0021752C" w:rsidRDefault="005B6CBD" w:rsidP="0021752C">
      <w:pPr>
        <w:pStyle w:val="Textonotapie"/>
        <w:jc w:val="both"/>
        <w:rPr>
          <w:lang w:val="es-CL"/>
        </w:rPr>
      </w:pPr>
      <w:r w:rsidRPr="0021752C">
        <w:rPr>
          <w:lang w:val="es-CL"/>
        </w:rPr>
        <w:t>    b) Si el imputado no hubiere sido condenado anteriormente por crimen o simple delito, y</w:t>
      </w:r>
    </w:p>
    <w:p w14:paraId="3AB1E2E1" w14:textId="77777777" w:rsidR="005B6CBD" w:rsidRPr="0021752C" w:rsidRDefault="005B6CBD" w:rsidP="0021752C">
      <w:pPr>
        <w:pStyle w:val="Textonotapie"/>
        <w:jc w:val="both"/>
        <w:rPr>
          <w:lang w:val="es-CL"/>
        </w:rPr>
      </w:pPr>
      <w:r w:rsidRPr="0021752C">
        <w:rPr>
          <w:lang w:val="es-CL"/>
        </w:rPr>
        <w:t>    c) Si el imputado no tuviere vigente una suspensión condicional del procedimiento, o hayan transcurrido más de tres años desde la anterior resolución que hubiere decretado una suspensión condicional del procedimiento, al momento de verificarse los hechos materia del nuevo proceso.</w:t>
      </w:r>
    </w:p>
    <w:p w14:paraId="55599F23" w14:textId="77777777" w:rsidR="005B6CBD" w:rsidRPr="0021752C" w:rsidRDefault="005B6CBD" w:rsidP="0021752C">
      <w:pPr>
        <w:pStyle w:val="Textonotapie"/>
        <w:jc w:val="both"/>
        <w:rPr>
          <w:lang w:val="es-CL"/>
        </w:rPr>
      </w:pPr>
      <w:r w:rsidRPr="0021752C">
        <w:rPr>
          <w:lang w:val="es-CL"/>
        </w:rPr>
        <w:t>    La presencia del defensor del imputado en la audiencia en que se ventilare la solicitud de suspensión condicional del procedimiento constituirá un requisito de validez de la misma.</w:t>
      </w:r>
    </w:p>
    <w:p w14:paraId="6A3AF3E7" w14:textId="77777777" w:rsidR="005B6CBD" w:rsidRPr="0021752C" w:rsidRDefault="005B6CBD" w:rsidP="0021752C">
      <w:pPr>
        <w:pStyle w:val="Textonotapie"/>
        <w:jc w:val="both"/>
        <w:rPr>
          <w:lang w:val="es-CL"/>
        </w:rPr>
      </w:pPr>
      <w:r w:rsidRPr="0021752C">
        <w:rPr>
          <w:lang w:val="es-CL"/>
        </w:rPr>
        <w:t>    Si el querellante o la víctima asistieren a la audiencia en que se ventile la solicitud de suspensión condicional del procedimiento, deberán ser oídos por el tribunal.</w:t>
      </w:r>
    </w:p>
    <w:p w14:paraId="72ABDE39" w14:textId="77777777" w:rsidR="005B6CBD" w:rsidRPr="0021752C" w:rsidRDefault="005B6CBD" w:rsidP="0021752C">
      <w:pPr>
        <w:pStyle w:val="Textonotapie"/>
        <w:jc w:val="both"/>
        <w:rPr>
          <w:lang w:val="es-CL"/>
        </w:rPr>
      </w:pPr>
      <w:r w:rsidRPr="0021752C">
        <w:rPr>
          <w:lang w:val="es-CL"/>
        </w:rPr>
        <w:t>    Tratándose de imputados por delitos de homicidio, secuestro, robo con violencia o intimidación en las personas o fuerza en las cosas, sustracción de menores, aborto; por los contemplados en los artículos 361 a 366 bis y 367 del Código Penal; por los delitos señalados en los artículos 8º, 9º, 10, 13, 14 y 14 D de la ley Nº17.798; por los delitos o cuasidelitos contemplados en otros cuerpos legales que se cometan empleando alguna de las armas o elementos mencionados en las letras a), b), c), d) y e) del artículo 2º y en el artículo 3º de la citada ley Nº17.798, y por conducción en estado de ebriedad causando la muerte o lesiones graves o gravísimas, el fiscal deberá someter su decisión de solicitar la suspensión condicional del procedimiento al Fiscal Regional.</w:t>
      </w:r>
    </w:p>
    <w:p w14:paraId="467933D5" w14:textId="77777777" w:rsidR="005B6CBD" w:rsidRPr="0021752C" w:rsidRDefault="005B6CBD" w:rsidP="0021752C">
      <w:pPr>
        <w:pStyle w:val="Textonotapie"/>
        <w:jc w:val="both"/>
        <w:rPr>
          <w:lang w:val="es-CL"/>
        </w:rPr>
      </w:pPr>
      <w:r w:rsidRPr="0021752C">
        <w:rPr>
          <w:lang w:val="es-CL"/>
        </w:rPr>
        <w:t>    Al decretar la suspensión condicional del procedimiento, el juez de garantía establecerá las condiciones a las que deberá someterse el imputado, por el plazo que determine, el que no podrá ser inferior a un año ni superior a tres. Durante dicho período no se reanudará el curso de la prescripción de la acción penal. Asimismo, durante el término por el que se prolongare la suspensión condicional del procedimiento se suspenderá el plazo previsto en el artículo 247.</w:t>
      </w:r>
    </w:p>
    <w:p w14:paraId="32C6476C" w14:textId="77777777" w:rsidR="005B6CBD" w:rsidRPr="0021752C" w:rsidRDefault="005B6CBD" w:rsidP="0021752C">
      <w:pPr>
        <w:pStyle w:val="Textonotapie"/>
        <w:jc w:val="both"/>
        <w:rPr>
          <w:lang w:val="es-CL"/>
        </w:rPr>
      </w:pPr>
      <w:r w:rsidRPr="0021752C">
        <w:rPr>
          <w:lang w:val="es-CL"/>
        </w:rPr>
        <w:t>    La resolución que se pronunciare acerca de la suspensión condicional del procedimiento será apelable por el imputado, por la víctima, por el ministerio público y por el querellante.</w:t>
      </w:r>
    </w:p>
    <w:p w14:paraId="7BAEDA4A" w14:textId="77777777" w:rsidR="005B6CBD" w:rsidRPr="0021752C" w:rsidRDefault="005B6CBD" w:rsidP="0021752C">
      <w:pPr>
        <w:pStyle w:val="Textonotapie"/>
        <w:jc w:val="both"/>
        <w:rPr>
          <w:lang w:val="es-CL"/>
        </w:rPr>
      </w:pPr>
      <w:r w:rsidRPr="0021752C">
        <w:rPr>
          <w:lang w:val="es-CL"/>
        </w:rPr>
        <w:t>    La suspensión condicional del procedimiento no impedirá de modo alguno el derecho a perseguir por la vía civil las responsabilidades pecuniarias derivadas del mismo hecho.</w:t>
      </w:r>
    </w:p>
    <w:p w14:paraId="2BDDB9F8" w14:textId="7DF943D6" w:rsidR="005B6CBD" w:rsidRPr="0021752C" w:rsidRDefault="005B6CBD" w:rsidP="0021752C">
      <w:pPr>
        <w:pStyle w:val="Textonotapie"/>
        <w:jc w:val="both"/>
        <w:rPr>
          <w:lang w:val="es-CL"/>
        </w:rPr>
      </w:pPr>
    </w:p>
  </w:footnote>
  <w:footnote w:id="4">
    <w:p w14:paraId="15E234CA" w14:textId="77777777" w:rsidR="005B6CBD" w:rsidRPr="0021752C" w:rsidRDefault="005B6CBD" w:rsidP="0021752C">
      <w:pPr>
        <w:pStyle w:val="Textonotapie"/>
        <w:rPr>
          <w:lang w:val="es-CL"/>
        </w:rPr>
      </w:pPr>
      <w:r>
        <w:rPr>
          <w:rStyle w:val="Refdenotaalpie"/>
        </w:rPr>
        <w:footnoteRef/>
      </w:r>
      <w:r>
        <w:t xml:space="preserve"> </w:t>
      </w:r>
      <w:r w:rsidRPr="0021752C">
        <w:rPr>
          <w:lang w:val="es-CL"/>
        </w:rPr>
        <w:t>ART. 74.</w:t>
      </w:r>
    </w:p>
    <w:p w14:paraId="54EF28B9" w14:textId="77777777" w:rsidR="005B6CBD" w:rsidRPr="0021752C" w:rsidRDefault="005B6CBD" w:rsidP="0021752C">
      <w:pPr>
        <w:pStyle w:val="Textonotapie"/>
        <w:rPr>
          <w:lang w:val="es-CL"/>
        </w:rPr>
      </w:pPr>
      <w:r w:rsidRPr="0021752C">
        <w:rPr>
          <w:lang w:val="es-CL"/>
        </w:rPr>
        <w:t>    Al culpable de dos o más delitos se le impondrán todas las penas correspondientes a las diversas infracciones.</w:t>
      </w:r>
    </w:p>
    <w:p w14:paraId="75FA3634" w14:textId="77777777" w:rsidR="005B6CBD" w:rsidRPr="0021752C" w:rsidRDefault="005B6CBD" w:rsidP="0021752C">
      <w:pPr>
        <w:pStyle w:val="Textonotapie"/>
        <w:rPr>
          <w:lang w:val="es-CL"/>
        </w:rPr>
      </w:pPr>
      <w:r w:rsidRPr="0021752C">
        <w:rPr>
          <w:lang w:val="es-CL"/>
        </w:rPr>
        <w:t>    El sentenciado cumplirá todas sus condenas simultáneamente, siendo posible. Cuando no lo fuere, o si de ello hubiere de resultar ilusoria alguna de las penas, las sufrirá en orden sucesivo, principiando por las más graves o sea las más altas en la escala respectiva, excepto las de confinamiento, extrañamiento, relegación y destierro, las cuales se ejecutarán después de haber cumplido cualquiera otra pena de las comprendidas en la escala gradual núm. 1.</w:t>
      </w:r>
    </w:p>
    <w:p w14:paraId="2952574F" w14:textId="1AFE6E1E" w:rsidR="005B6CBD" w:rsidRPr="0021752C" w:rsidRDefault="005B6CBD">
      <w:pPr>
        <w:pStyle w:val="Textonotapie"/>
        <w:rPr>
          <w:lang w:val="es-CL"/>
        </w:rPr>
      </w:pPr>
    </w:p>
  </w:footnote>
  <w:footnote w:id="5">
    <w:p w14:paraId="0A4B5BE7" w14:textId="77777777" w:rsidR="005B6CBD" w:rsidRPr="00103051" w:rsidRDefault="005B6CBD" w:rsidP="00103051">
      <w:pPr>
        <w:pStyle w:val="Textonotapie"/>
        <w:rPr>
          <w:lang w:val="es-CL"/>
        </w:rPr>
      </w:pPr>
      <w:r>
        <w:rPr>
          <w:rStyle w:val="Refdenotaalpie"/>
        </w:rPr>
        <w:footnoteRef/>
      </w:r>
      <w:r>
        <w:t xml:space="preserve"> </w:t>
      </w:r>
      <w:r w:rsidRPr="00103051">
        <w:rPr>
          <w:lang w:val="es-CL"/>
        </w:rPr>
        <w:t>Artículo 134.- Ejecución de la medida de expulsión. Una vez que se encuentre firme y ejecutoriada la resolución que ordena la expulsión, se podrá someter al afectado a restricciones y privaciones de libertad. Esta medida sólo podrá practicarse en el domicilio del afectado o en dependencias de la Policía, habilitadas especialmente al efecto, separados entre hombres y mujeres e independientes de las instalaciones destinadas a personas detenidas por otras causas legales y dando cumplimiento a los estándares de salud, higiene y habitabilidad que establecerá el reglamento. En ningún caso se aplicará esta medida a niños, niñas o adolescentes.</w:t>
      </w:r>
    </w:p>
    <w:p w14:paraId="081175AD" w14:textId="77777777" w:rsidR="005B6CBD" w:rsidRPr="00103051" w:rsidRDefault="005B6CBD" w:rsidP="00103051">
      <w:pPr>
        <w:pStyle w:val="Textonotapie"/>
        <w:rPr>
          <w:lang w:val="es-CL"/>
        </w:rPr>
      </w:pPr>
      <w:r w:rsidRPr="00103051">
        <w:rPr>
          <w:lang w:val="es-CL"/>
        </w:rPr>
        <w:t>    Los extranjeros privados de libertad conforme al inciso anterior tendrán derecho a:</w:t>
      </w:r>
    </w:p>
    <w:p w14:paraId="20DC2FA3" w14:textId="77777777" w:rsidR="005B6CBD" w:rsidRPr="00103051" w:rsidRDefault="005B6CBD" w:rsidP="00103051">
      <w:pPr>
        <w:pStyle w:val="Textonotapie"/>
        <w:rPr>
          <w:lang w:val="es-CL"/>
        </w:rPr>
      </w:pPr>
      <w:r w:rsidRPr="00103051">
        <w:rPr>
          <w:lang w:val="es-CL"/>
        </w:rPr>
        <w:t>     </w:t>
      </w:r>
    </w:p>
    <w:p w14:paraId="3A1C4620" w14:textId="77777777" w:rsidR="005B6CBD" w:rsidRPr="00103051" w:rsidRDefault="005B6CBD" w:rsidP="00103051">
      <w:pPr>
        <w:pStyle w:val="Textonotapie"/>
        <w:rPr>
          <w:lang w:val="es-CL"/>
        </w:rPr>
      </w:pPr>
      <w:r w:rsidRPr="00103051">
        <w:rPr>
          <w:lang w:val="es-CL"/>
        </w:rPr>
        <w:t>    1. Contactar a familiares, representantes legales, abogados y habilitados en derecho y recibir visitas de los mismos, garantizándose la privacidad de sus comunicaciones y otorgándose las facilidades correspondientes para contactarse telefónicamente con ellos.</w:t>
      </w:r>
    </w:p>
    <w:p w14:paraId="69BAFF28" w14:textId="77777777" w:rsidR="005B6CBD" w:rsidRPr="00103051" w:rsidRDefault="005B6CBD" w:rsidP="00103051">
      <w:pPr>
        <w:pStyle w:val="Textonotapie"/>
        <w:rPr>
          <w:lang w:val="es-CL"/>
        </w:rPr>
      </w:pPr>
      <w:r w:rsidRPr="00103051">
        <w:rPr>
          <w:lang w:val="es-CL"/>
        </w:rPr>
        <w:t>    2. Ser informado dentro de las primeras dos horas del inicio de la medida y por escrito de los derechos y obligaciones que le asisten de conformidad a la ley, la Constitución Política de la República y los Tratados Internacionales de Derechos Humanos ratificados por Chile y que se encuentren vigentes, lo que se dispondrá según lo ordene el reglamento, debiendo en todo caso mantener a la vista de los afectados un listado actualizado de los datos de contacto de la Corporación de Asistencia Judicial correspondiente.</w:t>
      </w:r>
    </w:p>
    <w:p w14:paraId="45DB90F3" w14:textId="77777777" w:rsidR="005B6CBD" w:rsidRPr="00103051" w:rsidRDefault="005B6CBD" w:rsidP="00103051">
      <w:pPr>
        <w:pStyle w:val="Textonotapie"/>
        <w:rPr>
          <w:lang w:val="es-CL"/>
        </w:rPr>
      </w:pPr>
      <w:r w:rsidRPr="00103051">
        <w:rPr>
          <w:lang w:val="es-CL"/>
        </w:rPr>
        <w:t>    3. Recibir tratamiento médico y farmacológico cuando sea necesario, incluyendo en casos graves y justificados el traslado a centros de salud, interrumpiéndose en tal caso el plazo para ejecutar la expulsión, el que se reiniciará a partir de que el afectado sea dado de alta médica.</w:t>
      </w:r>
    </w:p>
    <w:p w14:paraId="135497F1" w14:textId="77777777" w:rsidR="005B6CBD" w:rsidRPr="00103051" w:rsidRDefault="005B6CBD" w:rsidP="00103051">
      <w:pPr>
        <w:pStyle w:val="Textonotapie"/>
        <w:rPr>
          <w:lang w:val="es-CL"/>
        </w:rPr>
      </w:pPr>
      <w:r w:rsidRPr="00103051">
        <w:rPr>
          <w:lang w:val="es-CL"/>
        </w:rPr>
        <w:t>    4. Comunicarse con su representante consular.</w:t>
      </w:r>
    </w:p>
    <w:p w14:paraId="2F55ADFA" w14:textId="77777777" w:rsidR="005B6CBD" w:rsidRPr="00103051" w:rsidRDefault="005B6CBD" w:rsidP="00103051">
      <w:pPr>
        <w:pStyle w:val="Textonotapie"/>
        <w:rPr>
          <w:lang w:val="es-CL"/>
        </w:rPr>
      </w:pPr>
      <w:r w:rsidRPr="00103051">
        <w:rPr>
          <w:lang w:val="es-CL"/>
        </w:rPr>
        <w:t>    5. Solicitar un intérprete, si no habla o entiende el castellano.</w:t>
      </w:r>
    </w:p>
    <w:p w14:paraId="050016DB" w14:textId="77777777" w:rsidR="005B6CBD" w:rsidRPr="00103051" w:rsidRDefault="005B6CBD" w:rsidP="00103051">
      <w:pPr>
        <w:pStyle w:val="Textonotapie"/>
        <w:rPr>
          <w:lang w:val="es-CL"/>
        </w:rPr>
      </w:pPr>
      <w:r w:rsidRPr="00103051">
        <w:rPr>
          <w:lang w:val="es-CL"/>
        </w:rPr>
        <w:t>    6. Recibir por escrito copia de toda la información que corresponda entregarle en su calidad de privado de libertad, conforme al artículo 5.</w:t>
      </w:r>
    </w:p>
    <w:p w14:paraId="24C43503" w14:textId="78CB6E9C" w:rsidR="005B6CBD" w:rsidRPr="00103051" w:rsidRDefault="005B6CBD" w:rsidP="00103051">
      <w:pPr>
        <w:pStyle w:val="Textonotapie"/>
        <w:rPr>
          <w:lang w:val="es-CL"/>
        </w:rPr>
      </w:pPr>
      <w:r w:rsidRPr="00103051">
        <w:rPr>
          <w:lang w:val="es-CL"/>
        </w:rPr>
        <w:t>         En todo caso, el afectado podrá ser privado de libertad únicamente para hacer efectiva la expulsión por un plazo máximo de cinco días corridos.</w:t>
      </w:r>
    </w:p>
    <w:p w14:paraId="2706C7DC" w14:textId="16327129" w:rsidR="005B6CBD" w:rsidRPr="00103051" w:rsidRDefault="005B6CBD">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77777777"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2BB44FC2" w14:textId="77777777" w:rsidR="008F57A2" w:rsidRDefault="008F57A2" w:rsidP="00006693">
          <w:pPr>
            <w:numPr>
              <w:ilvl w:val="0"/>
              <w:numId w:val="2"/>
            </w:numPr>
            <w:spacing w:line="276" w:lineRule="auto"/>
            <w:ind w:left="0"/>
            <w:jc w:val="both"/>
            <w:rPr>
              <w:rFonts w:ascii="Arial" w:eastAsia="Calibri" w:hAnsi="Arial" w:cs="Arial"/>
              <w:b/>
              <w:sz w:val="24"/>
              <w:szCs w:val="24"/>
              <w:lang w:val="es-ES_tradnl"/>
            </w:rPr>
          </w:pPr>
        </w:p>
        <w:p w14:paraId="27118008" w14:textId="1751E624" w:rsidR="00006693" w:rsidRPr="00006693" w:rsidRDefault="008F57A2" w:rsidP="00006693">
          <w:pPr>
            <w:numPr>
              <w:ilvl w:val="0"/>
              <w:numId w:val="2"/>
            </w:numPr>
            <w:spacing w:line="276" w:lineRule="auto"/>
            <w:ind w:left="0"/>
            <w:jc w:val="both"/>
            <w:rPr>
              <w:rFonts w:ascii="Arial" w:eastAsia="Calibri" w:hAnsi="Arial" w:cs="Arial"/>
              <w:b/>
              <w:sz w:val="24"/>
              <w:szCs w:val="24"/>
              <w:lang w:val="es-ES_tradnl"/>
            </w:rPr>
          </w:pPr>
          <w:r>
            <w:rPr>
              <w:rFonts w:ascii="Arial" w:eastAsia="Calibri" w:hAnsi="Arial" w:cs="Arial"/>
              <w:b/>
              <w:sz w:val="24"/>
              <w:szCs w:val="24"/>
              <w:lang w:val="es-ES_tradnl"/>
            </w:rPr>
            <w:t>Proyecto de ley que r</w:t>
          </w:r>
          <w:r w:rsidRPr="008F57A2">
            <w:rPr>
              <w:rFonts w:ascii="Arial" w:eastAsia="Calibri" w:hAnsi="Arial" w:cs="Arial"/>
              <w:b/>
              <w:sz w:val="24"/>
              <w:szCs w:val="24"/>
              <w:lang w:val="es-ES_tradnl"/>
            </w:rPr>
            <w:t>egula el uso de fentanilo y sanciona su producción, internación, distribución y posesión no autorizadas</w:t>
          </w:r>
          <w:r>
            <w:rPr>
              <w:rFonts w:ascii="Arial" w:eastAsia="Calibri" w:hAnsi="Arial" w:cs="Arial"/>
              <w:b/>
              <w:sz w:val="24"/>
              <w:szCs w:val="24"/>
              <w:lang w:val="es-ES_tradnl"/>
            </w:rPr>
            <w:t>. Bol. 16.403-25</w:t>
          </w:r>
        </w:p>
        <w:p w14:paraId="656981E1" w14:textId="3F55C737" w:rsidR="00DA3C54" w:rsidRPr="007D7523" w:rsidRDefault="00DA3C54" w:rsidP="000228BB">
          <w:pPr>
            <w:spacing w:line="360" w:lineRule="auto"/>
            <w:jc w:val="both"/>
            <w:rPr>
              <w:rFonts w:ascii="Arial" w:hAnsi="Arial" w:cs="Arial"/>
              <w:b/>
              <w:sz w:val="24"/>
            </w:rPr>
          </w:pPr>
        </w:p>
      </w:tc>
    </w:tr>
  </w:tbl>
  <w:p w14:paraId="2A3C17B2" w14:textId="77777777" w:rsidR="001723BD" w:rsidRDefault="001723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B2B19"/>
    <w:rsid w:val="000F03FC"/>
    <w:rsid w:val="00103051"/>
    <w:rsid w:val="00110D0B"/>
    <w:rsid w:val="00161AD7"/>
    <w:rsid w:val="001723BD"/>
    <w:rsid w:val="00181CF6"/>
    <w:rsid w:val="00184655"/>
    <w:rsid w:val="0019603B"/>
    <w:rsid w:val="001C1824"/>
    <w:rsid w:val="001C7BA7"/>
    <w:rsid w:val="001D1282"/>
    <w:rsid w:val="001D767C"/>
    <w:rsid w:val="001E2D3F"/>
    <w:rsid w:val="00212744"/>
    <w:rsid w:val="0021752C"/>
    <w:rsid w:val="002C2063"/>
    <w:rsid w:val="002C2F76"/>
    <w:rsid w:val="002C4947"/>
    <w:rsid w:val="002D0077"/>
    <w:rsid w:val="002D6322"/>
    <w:rsid w:val="002E674D"/>
    <w:rsid w:val="002E7537"/>
    <w:rsid w:val="002F0924"/>
    <w:rsid w:val="002F335B"/>
    <w:rsid w:val="002F4525"/>
    <w:rsid w:val="0031360B"/>
    <w:rsid w:val="00317788"/>
    <w:rsid w:val="00344BC8"/>
    <w:rsid w:val="00360D54"/>
    <w:rsid w:val="00363633"/>
    <w:rsid w:val="00376A69"/>
    <w:rsid w:val="003A2D82"/>
    <w:rsid w:val="003B1CE5"/>
    <w:rsid w:val="003B51AC"/>
    <w:rsid w:val="003E660C"/>
    <w:rsid w:val="0041232F"/>
    <w:rsid w:val="004151C5"/>
    <w:rsid w:val="0041606C"/>
    <w:rsid w:val="00430548"/>
    <w:rsid w:val="00471D42"/>
    <w:rsid w:val="00481F94"/>
    <w:rsid w:val="00482695"/>
    <w:rsid w:val="00483F37"/>
    <w:rsid w:val="004D5869"/>
    <w:rsid w:val="004E5647"/>
    <w:rsid w:val="004F6513"/>
    <w:rsid w:val="004F7D73"/>
    <w:rsid w:val="00503BB7"/>
    <w:rsid w:val="00554696"/>
    <w:rsid w:val="00556210"/>
    <w:rsid w:val="00561FF0"/>
    <w:rsid w:val="005650AB"/>
    <w:rsid w:val="00580D26"/>
    <w:rsid w:val="00580D31"/>
    <w:rsid w:val="0058326E"/>
    <w:rsid w:val="005845CE"/>
    <w:rsid w:val="005B3A60"/>
    <w:rsid w:val="005B6CBD"/>
    <w:rsid w:val="005E5AFB"/>
    <w:rsid w:val="00606241"/>
    <w:rsid w:val="00622AE9"/>
    <w:rsid w:val="0068065C"/>
    <w:rsid w:val="00685834"/>
    <w:rsid w:val="00695AA3"/>
    <w:rsid w:val="00710CC2"/>
    <w:rsid w:val="00726FEE"/>
    <w:rsid w:val="00737B09"/>
    <w:rsid w:val="00772C85"/>
    <w:rsid w:val="00774D64"/>
    <w:rsid w:val="00794095"/>
    <w:rsid w:val="007A2687"/>
    <w:rsid w:val="007B7EF6"/>
    <w:rsid w:val="007D7523"/>
    <w:rsid w:val="00877F2A"/>
    <w:rsid w:val="008A1638"/>
    <w:rsid w:val="008A7E30"/>
    <w:rsid w:val="008B67CD"/>
    <w:rsid w:val="008F3B25"/>
    <w:rsid w:val="008F57A2"/>
    <w:rsid w:val="00926FDC"/>
    <w:rsid w:val="00927C28"/>
    <w:rsid w:val="0094661D"/>
    <w:rsid w:val="0096157C"/>
    <w:rsid w:val="009675C7"/>
    <w:rsid w:val="009A29A5"/>
    <w:rsid w:val="009E7673"/>
    <w:rsid w:val="009F6159"/>
    <w:rsid w:val="00A0783F"/>
    <w:rsid w:val="00A1627C"/>
    <w:rsid w:val="00A16734"/>
    <w:rsid w:val="00A237A3"/>
    <w:rsid w:val="00A736DC"/>
    <w:rsid w:val="00A93D53"/>
    <w:rsid w:val="00AA0592"/>
    <w:rsid w:val="00AC7B70"/>
    <w:rsid w:val="00B049E7"/>
    <w:rsid w:val="00B22FC5"/>
    <w:rsid w:val="00B23E5A"/>
    <w:rsid w:val="00B4405E"/>
    <w:rsid w:val="00B62234"/>
    <w:rsid w:val="00B7520B"/>
    <w:rsid w:val="00B91A0A"/>
    <w:rsid w:val="00BB3CF7"/>
    <w:rsid w:val="00BC193E"/>
    <w:rsid w:val="00BF5D23"/>
    <w:rsid w:val="00C02D19"/>
    <w:rsid w:val="00C0558E"/>
    <w:rsid w:val="00C30DDE"/>
    <w:rsid w:val="00C4456A"/>
    <w:rsid w:val="00C642E8"/>
    <w:rsid w:val="00C6455D"/>
    <w:rsid w:val="00C8229F"/>
    <w:rsid w:val="00CB616D"/>
    <w:rsid w:val="00CC0598"/>
    <w:rsid w:val="00CC131F"/>
    <w:rsid w:val="00CE1C76"/>
    <w:rsid w:val="00D05581"/>
    <w:rsid w:val="00D54D75"/>
    <w:rsid w:val="00D564F0"/>
    <w:rsid w:val="00D57B83"/>
    <w:rsid w:val="00D92A7B"/>
    <w:rsid w:val="00DA32E3"/>
    <w:rsid w:val="00DA3C54"/>
    <w:rsid w:val="00DA4BD5"/>
    <w:rsid w:val="00DD786B"/>
    <w:rsid w:val="00DE2A36"/>
    <w:rsid w:val="00E03A74"/>
    <w:rsid w:val="00E17D43"/>
    <w:rsid w:val="00E837C7"/>
    <w:rsid w:val="00EA2B70"/>
    <w:rsid w:val="00EC182B"/>
    <w:rsid w:val="00ED5235"/>
    <w:rsid w:val="00F13E25"/>
    <w:rsid w:val="00F14D81"/>
    <w:rsid w:val="00F21058"/>
    <w:rsid w:val="00F4541F"/>
    <w:rsid w:val="00F72374"/>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2.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1125</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Hugo Balladares Gajardo</cp:lastModifiedBy>
  <cp:revision>3</cp:revision>
  <dcterms:created xsi:type="dcterms:W3CDTF">2025-08-13T15:10:00Z</dcterms:created>
  <dcterms:modified xsi:type="dcterms:W3CDTF">2025-08-13T15:18:00Z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