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657"/>
        <w:gridCol w:w="8657"/>
      </w:tblGrid>
      <w:tr w:rsidR="009F7CDC" w14:paraId="74054563" w14:textId="77777777" w:rsidTr="00F33E61">
        <w:tc>
          <w:tcPr>
            <w:tcW w:w="8657" w:type="dxa"/>
            <w:shd w:val="clear" w:color="auto" w:fill="D9D9D9" w:themeFill="background1" w:themeFillShade="D9"/>
          </w:tcPr>
          <w:p w14:paraId="39500150" w14:textId="2F97B62E" w:rsidR="009F7CDC" w:rsidRPr="00F33E61" w:rsidRDefault="00F33E61" w:rsidP="00F33E61">
            <w:pPr>
              <w:jc w:val="center"/>
              <w:rPr>
                <w:b/>
                <w:bCs/>
                <w:sz w:val="24"/>
                <w:szCs w:val="24"/>
              </w:rPr>
            </w:pPr>
            <w:bookmarkStart w:id="0" w:name="_GoBack"/>
            <w:bookmarkEnd w:id="0"/>
            <w:r w:rsidRPr="00F33E61">
              <w:rPr>
                <w:b/>
                <w:bCs/>
                <w:sz w:val="24"/>
                <w:szCs w:val="24"/>
              </w:rPr>
              <w:t>Constitución Política de la República</w:t>
            </w:r>
          </w:p>
        </w:tc>
        <w:tc>
          <w:tcPr>
            <w:tcW w:w="8657" w:type="dxa"/>
            <w:shd w:val="clear" w:color="auto" w:fill="D9D9D9" w:themeFill="background1" w:themeFillShade="D9"/>
          </w:tcPr>
          <w:p w14:paraId="4D4F3DDE" w14:textId="475D45AE" w:rsidR="009F7CDC" w:rsidRPr="00F33E61" w:rsidRDefault="00F33E61" w:rsidP="00F33E61">
            <w:pPr>
              <w:jc w:val="center"/>
              <w:rPr>
                <w:b/>
                <w:bCs/>
                <w:sz w:val="24"/>
                <w:szCs w:val="24"/>
              </w:rPr>
            </w:pPr>
            <w:r w:rsidRPr="00F33E61">
              <w:rPr>
                <w:b/>
                <w:bCs/>
                <w:sz w:val="24"/>
                <w:szCs w:val="24"/>
              </w:rPr>
              <w:t>Proyecto de reforma constitucional aprobada por el Senado</w:t>
            </w:r>
          </w:p>
        </w:tc>
      </w:tr>
      <w:tr w:rsidR="009F7CDC" w14:paraId="25D5431B" w14:textId="77777777" w:rsidTr="009F7CDC">
        <w:tc>
          <w:tcPr>
            <w:tcW w:w="8657" w:type="dxa"/>
          </w:tcPr>
          <w:p w14:paraId="0943DBB5" w14:textId="77777777" w:rsidR="009F7CDC" w:rsidRDefault="009F7CDC" w:rsidP="00F33E61">
            <w:pPr>
              <w:jc w:val="both"/>
            </w:pPr>
          </w:p>
        </w:tc>
        <w:tc>
          <w:tcPr>
            <w:tcW w:w="8657" w:type="dxa"/>
          </w:tcPr>
          <w:p w14:paraId="0B50623C" w14:textId="1E592E46" w:rsidR="009F7CDC" w:rsidRDefault="00F33E61" w:rsidP="00F33E61">
            <w:pPr>
              <w:jc w:val="both"/>
            </w:pPr>
            <w:r w:rsidRPr="00F33E61">
              <w:t>“Artículo único.- Incorpóranse las siguientes modificaciones en la Constitución Política de la República:</w:t>
            </w:r>
          </w:p>
        </w:tc>
      </w:tr>
      <w:tr w:rsidR="00F33E61" w14:paraId="6C174BB0" w14:textId="77777777" w:rsidTr="009F7CDC">
        <w:tc>
          <w:tcPr>
            <w:tcW w:w="8657" w:type="dxa"/>
          </w:tcPr>
          <w:p w14:paraId="48A71B74" w14:textId="77777777" w:rsidR="00F33E61" w:rsidRDefault="00F33E61" w:rsidP="00F33E61">
            <w:pPr>
              <w:jc w:val="both"/>
            </w:pPr>
          </w:p>
          <w:p w14:paraId="018BCB6E" w14:textId="77777777" w:rsidR="00F33E61" w:rsidRDefault="00F33E61" w:rsidP="00F33E61">
            <w:pPr>
              <w:jc w:val="both"/>
            </w:pPr>
          </w:p>
          <w:p w14:paraId="2750B306" w14:textId="77777777" w:rsidR="00F33E61" w:rsidRDefault="00F33E61" w:rsidP="00F33E61">
            <w:pPr>
              <w:jc w:val="both"/>
            </w:pPr>
          </w:p>
          <w:p w14:paraId="4F589417" w14:textId="283BEE53" w:rsidR="00F33E61" w:rsidRDefault="00F33E61" w:rsidP="00F33E61">
            <w:pPr>
              <w:jc w:val="both"/>
            </w:pPr>
            <w:r>
              <w:t>Artículo 14.- Los extranjeros avecindados en Chile por más de cinco años, y que cumplan con los requisitos señalados en el inciso primero del artículo 13</w:t>
            </w:r>
            <w:r>
              <w:rPr>
                <w:rStyle w:val="Refdenotaalpie"/>
              </w:rPr>
              <w:footnoteReference w:id="1"/>
            </w:r>
            <w:r>
              <w:t>, podrán ejercer el derecho de sufragio en los casos y formas que determine la ley.</w:t>
            </w:r>
          </w:p>
          <w:p w14:paraId="73C31987" w14:textId="77777777" w:rsidR="00F33E61" w:rsidRDefault="00F33E61" w:rsidP="00F33E61">
            <w:pPr>
              <w:jc w:val="both"/>
            </w:pPr>
          </w:p>
          <w:p w14:paraId="77C82710" w14:textId="77777777" w:rsidR="00F33E61" w:rsidRDefault="00F33E61" w:rsidP="00F33E61">
            <w:pPr>
              <w:jc w:val="both"/>
            </w:pPr>
          </w:p>
          <w:p w14:paraId="238CEEB0" w14:textId="77777777" w:rsidR="00F33E61" w:rsidRDefault="00F33E61" w:rsidP="00F33E61">
            <w:pPr>
              <w:jc w:val="both"/>
            </w:pPr>
          </w:p>
          <w:p w14:paraId="4D550F7B" w14:textId="77777777" w:rsidR="00F33E61" w:rsidRDefault="00F33E61" w:rsidP="00F33E61">
            <w:pPr>
              <w:jc w:val="both"/>
            </w:pPr>
          </w:p>
          <w:p w14:paraId="4EA819BF" w14:textId="77777777" w:rsidR="00F33E61" w:rsidRDefault="00F33E61" w:rsidP="00F33E61">
            <w:pPr>
              <w:jc w:val="both"/>
            </w:pPr>
          </w:p>
          <w:p w14:paraId="78300892" w14:textId="1436227B" w:rsidR="00F33E61" w:rsidRDefault="00F33E61" w:rsidP="00F33E61">
            <w:pPr>
              <w:jc w:val="both"/>
            </w:pPr>
            <w:r>
              <w:t xml:space="preserve">    Los nacionalizados en conformidad al Nº 3º del artículo 10, tendrán opción a cargos públicos de elección popular sólo después de cinco años de estar en posesión de sus cartas de nacionalización.</w:t>
            </w:r>
          </w:p>
        </w:tc>
        <w:tc>
          <w:tcPr>
            <w:tcW w:w="8657" w:type="dxa"/>
          </w:tcPr>
          <w:p w14:paraId="03B56FBE" w14:textId="77777777" w:rsidR="00F33E61" w:rsidRDefault="00F33E61" w:rsidP="00F33E61">
            <w:pPr>
              <w:jc w:val="both"/>
            </w:pPr>
          </w:p>
          <w:p w14:paraId="43FC0B43" w14:textId="7725E454" w:rsidR="00F33E61" w:rsidRDefault="00F33E61" w:rsidP="00F33E61">
            <w:pPr>
              <w:jc w:val="both"/>
            </w:pPr>
            <w:r>
              <w:t>1.- Reemplázase el inciso primero del artículo 14 por el siguiente:</w:t>
            </w:r>
          </w:p>
          <w:p w14:paraId="3748DED5" w14:textId="77777777" w:rsidR="00F33E61" w:rsidRDefault="00F33E61" w:rsidP="00F33E61">
            <w:pPr>
              <w:jc w:val="both"/>
            </w:pPr>
          </w:p>
          <w:p w14:paraId="447F921A" w14:textId="77777777" w:rsidR="00F33E61" w:rsidRDefault="00F33E61" w:rsidP="00F33E61">
            <w:pPr>
              <w:jc w:val="both"/>
            </w:pPr>
            <w:r>
              <w:tab/>
              <w:t>“Artículo 14.- Los extranjeros avecindados en Chile por más de diez años ininterrumpidos, y que cumplan con los requisitos señalados en el inciso primero del artículo 13, podrán ejercer el derecho de sufragio en los casos y formas que determine la ley. Para estos efectos, los extranjeros sólo se considerarán avecindados a partir del momento en que obtengan un permiso de residencia definitiva. Con todo, durante el período de avecindamiento, no deberán registrar salidas del país por más de noventa días en cualquier período de doce meses.”.</w:t>
            </w:r>
          </w:p>
          <w:p w14:paraId="65C5B0AA" w14:textId="019974E3" w:rsidR="00F33E61" w:rsidRPr="00F33E61" w:rsidRDefault="00F33E61" w:rsidP="00F33E61">
            <w:pPr>
              <w:jc w:val="both"/>
            </w:pPr>
          </w:p>
        </w:tc>
      </w:tr>
      <w:tr w:rsidR="00F33E61" w14:paraId="27569023" w14:textId="77777777" w:rsidTr="009F7CDC">
        <w:tc>
          <w:tcPr>
            <w:tcW w:w="8657" w:type="dxa"/>
          </w:tcPr>
          <w:p w14:paraId="77FF75DA" w14:textId="77777777" w:rsidR="00F33E61" w:rsidRDefault="00F33E61" w:rsidP="00F33E61">
            <w:pPr>
              <w:jc w:val="both"/>
            </w:pPr>
          </w:p>
          <w:p w14:paraId="101A6213" w14:textId="3856E0EB" w:rsidR="00F33E61" w:rsidRDefault="00F33E61" w:rsidP="00F33E61">
            <w:pPr>
              <w:jc w:val="both"/>
            </w:pPr>
            <w:r>
              <w:t xml:space="preserve">Artículo 15.- En las votaciones populares, el sufragio será personal, igualitario y secreto.   </w:t>
            </w:r>
          </w:p>
          <w:p w14:paraId="5F3138F5" w14:textId="77777777" w:rsidR="00F33E61" w:rsidRDefault="00F33E61" w:rsidP="00F33E61">
            <w:pPr>
              <w:jc w:val="both"/>
            </w:pPr>
            <w:r>
              <w:t xml:space="preserve">    El sufragio será obligatorio </w:t>
            </w:r>
            <w:r w:rsidRPr="00F33E61">
              <w:rPr>
                <w:strike/>
              </w:rPr>
              <w:t>para los electores</w:t>
            </w:r>
            <w:r>
              <w:t xml:space="preserve"> en todas las elecciones y plebiscitos, salvo en las elecciones primarias. Una ley orgánica constitucional fijará las multas o sanciones que se aplicarán por el incumplimiento de este deber, los </w:t>
            </w:r>
            <w:r w:rsidRPr="00F33E61">
              <w:rPr>
                <w:strike/>
              </w:rPr>
              <w:t>electores</w:t>
            </w:r>
            <w:r>
              <w:t xml:space="preserve"> que estarán exentos de ellas y el procedimiento para su determinación.</w:t>
            </w:r>
          </w:p>
          <w:p w14:paraId="629A0E39" w14:textId="77777777" w:rsidR="00F33E61" w:rsidRDefault="00F33E61" w:rsidP="00F33E61">
            <w:pPr>
              <w:jc w:val="both"/>
            </w:pPr>
            <w:r>
              <w:t xml:space="preserve">    Sólo podrá convocarse a votación popular para las elecciones y plebiscitos expresamente previstos en esta Constitución.</w:t>
            </w:r>
          </w:p>
          <w:p w14:paraId="3743F2E8" w14:textId="7E6308D5" w:rsidR="00F33E61" w:rsidRDefault="00F33E61" w:rsidP="00F33E61">
            <w:pPr>
              <w:jc w:val="both"/>
            </w:pPr>
          </w:p>
        </w:tc>
        <w:tc>
          <w:tcPr>
            <w:tcW w:w="8657" w:type="dxa"/>
          </w:tcPr>
          <w:p w14:paraId="5F32F373" w14:textId="77777777" w:rsidR="00F33E61" w:rsidRDefault="00F33E61" w:rsidP="00F33E61">
            <w:pPr>
              <w:jc w:val="both"/>
              <w:rPr>
                <w:lang w:val="es-ES"/>
              </w:rPr>
            </w:pPr>
          </w:p>
          <w:p w14:paraId="21A4A4F4" w14:textId="2151EE62" w:rsidR="00F33E61" w:rsidRPr="00F33E61" w:rsidRDefault="00F33E61" w:rsidP="00F33E61">
            <w:pPr>
              <w:jc w:val="both"/>
              <w:rPr>
                <w:lang w:val="es-ES"/>
              </w:rPr>
            </w:pPr>
            <w:r w:rsidRPr="00F33E61">
              <w:rPr>
                <w:lang w:val="es-ES"/>
              </w:rPr>
              <w:t>2.- Elimínanse, en el inciso segundo del artículo 15, la frase “para los electores” y la palabra “electores”.</w:t>
            </w:r>
          </w:p>
          <w:p w14:paraId="4458E47B" w14:textId="77777777" w:rsidR="00F33E61" w:rsidRPr="00F33E61" w:rsidRDefault="00F33E61" w:rsidP="00F33E61">
            <w:pPr>
              <w:jc w:val="both"/>
              <w:rPr>
                <w:lang w:val="es-ES"/>
              </w:rPr>
            </w:pPr>
          </w:p>
          <w:p w14:paraId="44CA7E28" w14:textId="77777777" w:rsidR="00F33E61" w:rsidRDefault="00F33E61" w:rsidP="00F33E61">
            <w:pPr>
              <w:jc w:val="both"/>
            </w:pPr>
          </w:p>
        </w:tc>
      </w:tr>
      <w:tr w:rsidR="00F33E61" w14:paraId="4DACACB9" w14:textId="77777777" w:rsidTr="009F7CDC">
        <w:tc>
          <w:tcPr>
            <w:tcW w:w="8657" w:type="dxa"/>
          </w:tcPr>
          <w:p w14:paraId="030D9B97" w14:textId="77777777" w:rsidR="00F33E61" w:rsidRDefault="00F33E61" w:rsidP="00F33E61">
            <w:pPr>
              <w:jc w:val="both"/>
            </w:pPr>
          </w:p>
        </w:tc>
        <w:tc>
          <w:tcPr>
            <w:tcW w:w="8657" w:type="dxa"/>
          </w:tcPr>
          <w:p w14:paraId="16E29A96" w14:textId="77777777" w:rsidR="00F33E61" w:rsidRDefault="00F33E61" w:rsidP="00F33E61">
            <w:pPr>
              <w:jc w:val="both"/>
              <w:rPr>
                <w:lang w:val="es-ES"/>
              </w:rPr>
            </w:pPr>
          </w:p>
          <w:p w14:paraId="0C0B9B8A" w14:textId="345AB51B" w:rsidR="00F33E61" w:rsidRPr="00F33E61" w:rsidRDefault="00F33E61" w:rsidP="00F33E61">
            <w:pPr>
              <w:jc w:val="both"/>
              <w:rPr>
                <w:lang w:val="es-ES"/>
              </w:rPr>
            </w:pPr>
            <w:r w:rsidRPr="00F33E61">
              <w:rPr>
                <w:lang w:val="es-ES"/>
              </w:rPr>
              <w:lastRenderedPageBreak/>
              <w:t>Artículo transitorio.- Las modificaciones introducidas por el artículo único de la presente ley comenzarán a regir desde el año 2026. Previo a su entrada en vigencia, la ley establecerá multas para ciudadanos por incumplimiento del deber de sufragio.”.</w:t>
            </w:r>
          </w:p>
          <w:p w14:paraId="3C16B1B8" w14:textId="77777777" w:rsidR="00F33E61" w:rsidRDefault="00F33E61" w:rsidP="00F33E61">
            <w:pPr>
              <w:jc w:val="both"/>
              <w:rPr>
                <w:lang w:val="es-ES"/>
              </w:rPr>
            </w:pPr>
          </w:p>
        </w:tc>
      </w:tr>
    </w:tbl>
    <w:p w14:paraId="58D08EB1" w14:textId="77777777" w:rsidR="00011548" w:rsidRDefault="00011548"/>
    <w:sectPr w:rsidR="00011548" w:rsidSect="009F7CDC">
      <w:headerReference w:type="default" r:id="rId7"/>
      <w:footerReference w:type="default" r:id="rId8"/>
      <w:pgSz w:w="20160" w:h="12240"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B962C" w14:textId="77777777" w:rsidR="00984CB3" w:rsidRDefault="00984CB3" w:rsidP="009F7CDC">
      <w:pPr>
        <w:spacing w:after="0" w:line="240" w:lineRule="auto"/>
      </w:pPr>
      <w:r>
        <w:separator/>
      </w:r>
    </w:p>
  </w:endnote>
  <w:endnote w:type="continuationSeparator" w:id="0">
    <w:p w14:paraId="10F2F267" w14:textId="77777777" w:rsidR="00984CB3" w:rsidRDefault="00984CB3" w:rsidP="009F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985750"/>
      <w:docPartObj>
        <w:docPartGallery w:val="Page Numbers (Bottom of Page)"/>
        <w:docPartUnique/>
      </w:docPartObj>
    </w:sdtPr>
    <w:sdtEndPr/>
    <w:sdtContent>
      <w:p w14:paraId="3DC077F8" w14:textId="1F71419D" w:rsidR="009F7CDC" w:rsidRDefault="009F7CDC">
        <w:pPr>
          <w:pStyle w:val="Piedepgina"/>
          <w:jc w:val="right"/>
        </w:pPr>
        <w:r>
          <w:fldChar w:fldCharType="begin"/>
        </w:r>
        <w:r>
          <w:instrText>PAGE   \* MERGEFORMAT</w:instrText>
        </w:r>
        <w:r>
          <w:fldChar w:fldCharType="separate"/>
        </w:r>
        <w:r w:rsidR="006E4573" w:rsidRPr="006E4573">
          <w:rPr>
            <w:noProof/>
            <w:lang w:val="es-ES"/>
          </w:rPr>
          <w:t>1</w:t>
        </w:r>
        <w:r>
          <w:fldChar w:fldCharType="end"/>
        </w:r>
      </w:p>
    </w:sdtContent>
  </w:sdt>
  <w:p w14:paraId="2C5582E1" w14:textId="77777777" w:rsidR="009F7CDC" w:rsidRDefault="009F7C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EC0D0" w14:textId="77777777" w:rsidR="00984CB3" w:rsidRDefault="00984CB3" w:rsidP="009F7CDC">
      <w:pPr>
        <w:spacing w:after="0" w:line="240" w:lineRule="auto"/>
      </w:pPr>
      <w:r>
        <w:separator/>
      </w:r>
    </w:p>
  </w:footnote>
  <w:footnote w:type="continuationSeparator" w:id="0">
    <w:p w14:paraId="4636F764" w14:textId="77777777" w:rsidR="00984CB3" w:rsidRDefault="00984CB3" w:rsidP="009F7CDC">
      <w:pPr>
        <w:spacing w:after="0" w:line="240" w:lineRule="auto"/>
      </w:pPr>
      <w:r>
        <w:continuationSeparator/>
      </w:r>
    </w:p>
  </w:footnote>
  <w:footnote w:id="1">
    <w:p w14:paraId="4BD3E8B5" w14:textId="77777777" w:rsidR="00F33E61" w:rsidRPr="00F33E61" w:rsidRDefault="00F33E61" w:rsidP="00F33E61">
      <w:pPr>
        <w:pStyle w:val="Textonotapie"/>
        <w:jc w:val="both"/>
        <w:rPr>
          <w:sz w:val="18"/>
          <w:szCs w:val="18"/>
        </w:rPr>
      </w:pPr>
      <w:r w:rsidRPr="00F33E61">
        <w:rPr>
          <w:rStyle w:val="Refdenotaalpie"/>
          <w:sz w:val="18"/>
          <w:szCs w:val="18"/>
        </w:rPr>
        <w:footnoteRef/>
      </w:r>
      <w:r w:rsidRPr="00F33E61">
        <w:rPr>
          <w:sz w:val="18"/>
          <w:szCs w:val="18"/>
        </w:rPr>
        <w:t xml:space="preserve"> Artículo 13.- Son ciudadanos los chilenos que hayan cumplido dieciocho años de edad y que no hayan sido condenados a pena aflictiva.</w:t>
      </w:r>
    </w:p>
    <w:p w14:paraId="1B933FCC" w14:textId="77777777" w:rsidR="00F33E61" w:rsidRPr="00F33E61" w:rsidRDefault="00F33E61" w:rsidP="00F33E61">
      <w:pPr>
        <w:pStyle w:val="Textonotapie"/>
        <w:jc w:val="both"/>
        <w:rPr>
          <w:sz w:val="18"/>
          <w:szCs w:val="18"/>
        </w:rPr>
      </w:pPr>
      <w:r w:rsidRPr="00F33E61">
        <w:rPr>
          <w:sz w:val="18"/>
          <w:szCs w:val="18"/>
        </w:rPr>
        <w:t xml:space="preserve">    La calidad de ciudadano otorga los derechos de sufragio, de optar a cargos de elección popular y los demás que la Constitución o la ley confieran.</w:t>
      </w:r>
    </w:p>
    <w:p w14:paraId="7B0338FE" w14:textId="77777777" w:rsidR="00F33E61" w:rsidRPr="00F33E61" w:rsidRDefault="00F33E61" w:rsidP="00F33E61">
      <w:pPr>
        <w:pStyle w:val="Textonotapie"/>
        <w:jc w:val="both"/>
        <w:rPr>
          <w:sz w:val="18"/>
          <w:szCs w:val="18"/>
        </w:rPr>
      </w:pPr>
      <w:r w:rsidRPr="00F33E61">
        <w:rPr>
          <w:sz w:val="18"/>
          <w:szCs w:val="18"/>
        </w:rPr>
        <w:t xml:space="preserve">    Los ciudadanos con derecho a sufragio que se encuentren fuera del país podrán sufragar desde el extranjero en las elecciones primarias presidenciales, en las elecciones de Presidente de la República y en los plebiscitos nacionales. Una ley orgánica constitucional establecerá el procedimiento para materializar la inscripción en el registro electoral y regulará la manera en que se realizarán los procesos electorales y plebiscitarios en el extranjero, en conformidad con lo dispuesto en los incisos primero y segundo del artículo 18.</w:t>
      </w:r>
    </w:p>
    <w:p w14:paraId="1E32B68E" w14:textId="45AE57D7" w:rsidR="00F33E61" w:rsidRDefault="00F33E61" w:rsidP="00F33E61">
      <w:pPr>
        <w:pStyle w:val="Textonotapie"/>
        <w:jc w:val="both"/>
      </w:pPr>
      <w:r w:rsidRPr="00F33E61">
        <w:rPr>
          <w:sz w:val="18"/>
          <w:szCs w:val="18"/>
        </w:rPr>
        <w:t xml:space="preserve">    Tratándose de los chilenos a que se refieren los números 2º y 4º del artículo 10, el ejercicio de los derechos que les confiere la ciudadanía estará sujeto a que hubieren estado avecindados en Chile por más de un año.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AD559" w14:textId="4F46D545" w:rsidR="009F7CDC" w:rsidRPr="00F33E61" w:rsidRDefault="009F7CDC" w:rsidP="009F7CDC">
    <w:pPr>
      <w:pStyle w:val="Encabezado"/>
      <w:jc w:val="center"/>
      <w:rPr>
        <w:b/>
        <w:bCs/>
      </w:rPr>
    </w:pPr>
    <w:r w:rsidRPr="00F33E61">
      <w:rPr>
        <w:b/>
        <w:bCs/>
      </w:rPr>
      <w:t xml:space="preserve">Comparado proyecto de reforma constitucional que modifica la Carta Fundamental, en materia de derecho de sufragio de personas extranjeras, correspondiente al Boletín N° 17.823-07 (S), segundo trámite constitucional. </w:t>
    </w:r>
    <w:r w:rsidR="00F33E61" w:rsidRPr="00F33E61">
      <w:rPr>
        <w:b/>
        <w:bCs/>
      </w:rPr>
      <w:t>Comisión de Constitución, Legislación, Justicia y Reglamento.</w:t>
    </w:r>
  </w:p>
  <w:p w14:paraId="5B8E40F0" w14:textId="5FA2205E" w:rsidR="00F33E61" w:rsidRDefault="00F33E61" w:rsidP="009F7CDC">
    <w:pPr>
      <w:pStyle w:val="Encabezado"/>
      <w:jc w:val="center"/>
    </w:pPr>
    <w:r w:rsidRPr="00F33E61">
      <w:rPr>
        <w:b/>
        <w:bCs/>
      </w:rPr>
      <w:t>Cámara de diputadas y diputados</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DC"/>
    <w:rsid w:val="00011548"/>
    <w:rsid w:val="0040125B"/>
    <w:rsid w:val="00435D13"/>
    <w:rsid w:val="00437853"/>
    <w:rsid w:val="005E31B5"/>
    <w:rsid w:val="00656ABE"/>
    <w:rsid w:val="006E4573"/>
    <w:rsid w:val="00735C68"/>
    <w:rsid w:val="00984CB3"/>
    <w:rsid w:val="009F7CDC"/>
    <w:rsid w:val="00DF0D2A"/>
    <w:rsid w:val="00F33E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AC00"/>
  <w15:chartTrackingRefBased/>
  <w15:docId w15:val="{A1AD1C9B-A361-415C-8E1C-7B849F9D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F7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F7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F7C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F7C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F7C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F7C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7C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7C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7C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7C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F7C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F7C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F7C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7C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7C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7C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7C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7CDC"/>
    <w:rPr>
      <w:rFonts w:eastAsiaTheme="majorEastAsia" w:cstheme="majorBidi"/>
      <w:color w:val="272727" w:themeColor="text1" w:themeTint="D8"/>
    </w:rPr>
  </w:style>
  <w:style w:type="paragraph" w:styleId="Ttulo">
    <w:name w:val="Title"/>
    <w:basedOn w:val="Normal"/>
    <w:next w:val="Normal"/>
    <w:link w:val="TtuloCar"/>
    <w:uiPriority w:val="10"/>
    <w:qFormat/>
    <w:rsid w:val="009F7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7C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7C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7C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7CDC"/>
    <w:pPr>
      <w:spacing w:before="160"/>
      <w:jc w:val="center"/>
    </w:pPr>
    <w:rPr>
      <w:i/>
      <w:iCs/>
      <w:color w:val="404040" w:themeColor="text1" w:themeTint="BF"/>
    </w:rPr>
  </w:style>
  <w:style w:type="character" w:customStyle="1" w:styleId="CitaCar">
    <w:name w:val="Cita Car"/>
    <w:basedOn w:val="Fuentedeprrafopredeter"/>
    <w:link w:val="Cita"/>
    <w:uiPriority w:val="29"/>
    <w:rsid w:val="009F7CDC"/>
    <w:rPr>
      <w:i/>
      <w:iCs/>
      <w:color w:val="404040" w:themeColor="text1" w:themeTint="BF"/>
    </w:rPr>
  </w:style>
  <w:style w:type="paragraph" w:styleId="Prrafodelista">
    <w:name w:val="List Paragraph"/>
    <w:basedOn w:val="Normal"/>
    <w:uiPriority w:val="34"/>
    <w:qFormat/>
    <w:rsid w:val="009F7CDC"/>
    <w:pPr>
      <w:ind w:left="720"/>
      <w:contextualSpacing/>
    </w:pPr>
  </w:style>
  <w:style w:type="character" w:styleId="nfasisintenso">
    <w:name w:val="Intense Emphasis"/>
    <w:basedOn w:val="Fuentedeprrafopredeter"/>
    <w:uiPriority w:val="21"/>
    <w:qFormat/>
    <w:rsid w:val="009F7CDC"/>
    <w:rPr>
      <w:i/>
      <w:iCs/>
      <w:color w:val="0F4761" w:themeColor="accent1" w:themeShade="BF"/>
    </w:rPr>
  </w:style>
  <w:style w:type="paragraph" w:styleId="Citadestacada">
    <w:name w:val="Intense Quote"/>
    <w:basedOn w:val="Normal"/>
    <w:next w:val="Normal"/>
    <w:link w:val="CitadestacadaCar"/>
    <w:uiPriority w:val="30"/>
    <w:qFormat/>
    <w:rsid w:val="009F7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F7CDC"/>
    <w:rPr>
      <w:i/>
      <w:iCs/>
      <w:color w:val="0F4761" w:themeColor="accent1" w:themeShade="BF"/>
    </w:rPr>
  </w:style>
  <w:style w:type="character" w:styleId="Referenciaintensa">
    <w:name w:val="Intense Reference"/>
    <w:basedOn w:val="Fuentedeprrafopredeter"/>
    <w:uiPriority w:val="32"/>
    <w:qFormat/>
    <w:rsid w:val="009F7CDC"/>
    <w:rPr>
      <w:b/>
      <w:bCs/>
      <w:smallCaps/>
      <w:color w:val="0F4761" w:themeColor="accent1" w:themeShade="BF"/>
      <w:spacing w:val="5"/>
    </w:rPr>
  </w:style>
  <w:style w:type="table" w:styleId="Tablaconcuadrcula">
    <w:name w:val="Table Grid"/>
    <w:basedOn w:val="Tablanormal"/>
    <w:uiPriority w:val="39"/>
    <w:rsid w:val="009F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7C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7CDC"/>
  </w:style>
  <w:style w:type="paragraph" w:styleId="Piedepgina">
    <w:name w:val="footer"/>
    <w:basedOn w:val="Normal"/>
    <w:link w:val="PiedepginaCar"/>
    <w:uiPriority w:val="99"/>
    <w:unhideWhenUsed/>
    <w:rsid w:val="009F7C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7CDC"/>
  </w:style>
  <w:style w:type="paragraph" w:styleId="Textonotapie">
    <w:name w:val="footnote text"/>
    <w:basedOn w:val="Normal"/>
    <w:link w:val="TextonotapieCar"/>
    <w:uiPriority w:val="99"/>
    <w:semiHidden/>
    <w:unhideWhenUsed/>
    <w:rsid w:val="00F33E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3E61"/>
    <w:rPr>
      <w:sz w:val="20"/>
      <w:szCs w:val="20"/>
    </w:rPr>
  </w:style>
  <w:style w:type="character" w:styleId="Refdenotaalpie">
    <w:name w:val="footnote reference"/>
    <w:basedOn w:val="Fuentedeprrafopredeter"/>
    <w:uiPriority w:val="99"/>
    <w:semiHidden/>
    <w:unhideWhenUsed/>
    <w:rsid w:val="00F33E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F25A-DB10-4B6B-A9EA-80FF1D48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Soledad Moreno Lopez</dc:creator>
  <cp:keywords/>
  <dc:description/>
  <cp:lastModifiedBy>Windows User</cp:lastModifiedBy>
  <cp:revision>2</cp:revision>
  <dcterms:created xsi:type="dcterms:W3CDTF">2025-09-16T15:16:00Z</dcterms:created>
  <dcterms:modified xsi:type="dcterms:W3CDTF">2025-09-16T15:16:00Z</dcterms:modified>
</cp:coreProperties>
</file>